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34332C" w14:textId="64817972" w:rsidR="00A470B2" w:rsidRPr="00A470B2" w:rsidRDefault="00AC77A7" w:rsidP="00A470B2">
      <w:pPr>
        <w:snapToGrid w:val="0"/>
        <w:spacing w:after="0"/>
        <w:jc w:val="left"/>
        <w:rPr>
          <w:rFonts w:eastAsia="宋体" w:cs="Arial"/>
          <w:b/>
          <w:noProof/>
          <w:sz w:val="28"/>
          <w:szCs w:val="28"/>
          <w:lang w:eastAsia="en-GB"/>
        </w:rPr>
      </w:pPr>
      <w:r>
        <w:rPr>
          <w:rFonts w:eastAsia="宋体" w:cs="Arial"/>
          <w:b/>
          <w:noProof/>
          <w:sz w:val="28"/>
          <w:szCs w:val="28"/>
          <w:lang w:eastAsia="en-GB"/>
        </w:rPr>
        <w:t>3GPP TSG RAN3 meeting #115</w:t>
      </w:r>
      <w:r w:rsidR="00A470B2" w:rsidRPr="00A470B2">
        <w:rPr>
          <w:rFonts w:eastAsia="宋体" w:cs="Arial"/>
          <w:b/>
          <w:noProof/>
          <w:sz w:val="28"/>
          <w:szCs w:val="28"/>
          <w:lang w:eastAsia="en-GB"/>
        </w:rPr>
        <w:t>-e</w:t>
      </w:r>
      <w:r w:rsidR="00A470B2">
        <w:rPr>
          <w:rFonts w:eastAsia="宋体" w:cs="Arial"/>
          <w:b/>
          <w:noProof/>
          <w:sz w:val="28"/>
          <w:szCs w:val="28"/>
          <w:lang w:eastAsia="en-GB"/>
        </w:rPr>
        <w:tab/>
      </w:r>
      <w:r w:rsidR="00A470B2">
        <w:rPr>
          <w:rFonts w:eastAsia="宋体" w:cs="Arial"/>
          <w:b/>
          <w:noProof/>
          <w:sz w:val="28"/>
          <w:szCs w:val="28"/>
          <w:lang w:eastAsia="en-GB"/>
        </w:rPr>
        <w:tab/>
      </w:r>
      <w:r w:rsidR="00A470B2">
        <w:rPr>
          <w:rFonts w:eastAsia="宋体" w:cs="Arial"/>
          <w:b/>
          <w:noProof/>
          <w:sz w:val="28"/>
          <w:szCs w:val="28"/>
          <w:lang w:eastAsia="en-GB"/>
        </w:rPr>
        <w:tab/>
      </w:r>
      <w:r w:rsidR="006173EC" w:rsidRPr="006173EC">
        <w:rPr>
          <w:rFonts w:eastAsia="宋体" w:cs="Arial"/>
          <w:b/>
          <w:noProof/>
          <w:sz w:val="28"/>
          <w:szCs w:val="28"/>
          <w:lang w:eastAsia="en-GB"/>
        </w:rPr>
        <w:t>R3-221929</w:t>
      </w:r>
    </w:p>
    <w:p w14:paraId="49F5B820" w14:textId="63779E30" w:rsidR="006E5775" w:rsidRPr="00070FA5" w:rsidRDefault="00070FA5" w:rsidP="00EC34EB">
      <w:pPr>
        <w:pStyle w:val="3GPPHeader"/>
        <w:jc w:val="left"/>
        <w:rPr>
          <w:rFonts w:asciiTheme="minorHAnsi" w:hAnsiTheme="minorHAnsi" w:cstheme="minorHAnsi"/>
          <w:szCs w:val="22"/>
        </w:rPr>
      </w:pPr>
      <w:r w:rsidRPr="00070FA5">
        <w:rPr>
          <w:rFonts w:eastAsia="宋体" w:cs="Arial"/>
          <w:sz w:val="28"/>
          <w:szCs w:val="28"/>
          <w:lang w:eastAsia="ko-KR"/>
        </w:rPr>
        <w:t>21th Feb – 3rd Mar 2022</w:t>
      </w:r>
      <w:r>
        <w:rPr>
          <w:rFonts w:eastAsia="宋体" w:cs="Arial"/>
          <w:sz w:val="28"/>
          <w:szCs w:val="28"/>
          <w:lang w:eastAsia="ko-KR"/>
        </w:rPr>
        <w:t xml:space="preserve">  </w:t>
      </w:r>
      <w:r w:rsidRPr="00070FA5">
        <w:rPr>
          <w:rFonts w:eastAsia="宋体" w:cs="Arial"/>
          <w:sz w:val="28"/>
          <w:szCs w:val="28"/>
          <w:lang w:eastAsia="ko-KR"/>
        </w:rPr>
        <w:t>Online</w:t>
      </w:r>
    </w:p>
    <w:p w14:paraId="1B26FB82" w14:textId="1B03595D" w:rsidR="00D90766" w:rsidRPr="0089070B" w:rsidRDefault="00D90766" w:rsidP="00EC34EB">
      <w:pPr>
        <w:pStyle w:val="3GPPHeader"/>
        <w:jc w:val="left"/>
        <w:rPr>
          <w:rFonts w:eastAsia="Arial Unicode MS" w:cs="Arial"/>
          <w:szCs w:val="22"/>
          <w:lang w:val="en-US"/>
        </w:rPr>
      </w:pPr>
      <w:r w:rsidRPr="0089070B">
        <w:rPr>
          <w:rFonts w:eastAsia="Arial Unicode MS" w:cs="Arial"/>
          <w:szCs w:val="22"/>
        </w:rPr>
        <w:t>Agenda Item:</w:t>
      </w:r>
      <w:r w:rsidRPr="0089070B">
        <w:rPr>
          <w:rFonts w:eastAsia="Arial Unicode MS" w:cs="Arial"/>
          <w:szCs w:val="22"/>
        </w:rPr>
        <w:tab/>
      </w:r>
      <w:r w:rsidR="00E7795C" w:rsidRPr="0089070B">
        <w:rPr>
          <w:rFonts w:eastAsia="Arial Unicode MS" w:cs="Arial"/>
          <w:szCs w:val="22"/>
        </w:rPr>
        <w:t>1</w:t>
      </w:r>
      <w:r w:rsidR="00B11D8D" w:rsidRPr="0089070B">
        <w:rPr>
          <w:rFonts w:eastAsia="Arial Unicode MS" w:cs="Arial"/>
          <w:szCs w:val="22"/>
        </w:rPr>
        <w:t>5</w:t>
      </w:r>
      <w:r w:rsidR="00E7795C" w:rsidRPr="0089070B">
        <w:rPr>
          <w:rFonts w:eastAsia="Arial Unicode MS" w:cs="Arial"/>
          <w:szCs w:val="22"/>
        </w:rPr>
        <w:t>.</w:t>
      </w:r>
      <w:r w:rsidR="003C57DD">
        <w:rPr>
          <w:rFonts w:eastAsia="Arial Unicode MS" w:cs="Arial"/>
          <w:szCs w:val="22"/>
        </w:rPr>
        <w:t>4</w:t>
      </w:r>
    </w:p>
    <w:p w14:paraId="418B7CDF" w14:textId="6927636C" w:rsidR="00D90766" w:rsidRPr="0089070B" w:rsidRDefault="00D90766" w:rsidP="00EC34EB">
      <w:pPr>
        <w:pStyle w:val="3GPPHeader"/>
        <w:jc w:val="left"/>
        <w:rPr>
          <w:rFonts w:eastAsia="Arial Unicode MS" w:cs="Arial"/>
          <w:szCs w:val="22"/>
        </w:rPr>
      </w:pPr>
      <w:r w:rsidRPr="0089070B">
        <w:rPr>
          <w:rFonts w:eastAsia="Arial Unicode MS" w:cs="Arial"/>
          <w:szCs w:val="22"/>
        </w:rPr>
        <w:t>Source:</w:t>
      </w:r>
      <w:r w:rsidRPr="0089070B">
        <w:rPr>
          <w:rFonts w:eastAsia="Arial Unicode MS" w:cs="Arial"/>
          <w:szCs w:val="22"/>
        </w:rPr>
        <w:tab/>
      </w:r>
      <w:r w:rsidR="00205FDC" w:rsidRPr="0089070B">
        <w:rPr>
          <w:rFonts w:eastAsia="Arial Unicode MS" w:cs="Arial"/>
          <w:szCs w:val="22"/>
        </w:rPr>
        <w:t>China Unicom</w:t>
      </w:r>
    </w:p>
    <w:p w14:paraId="08FBCC57" w14:textId="31D98445" w:rsidR="00A169A2" w:rsidRPr="000041A0" w:rsidRDefault="00D90766" w:rsidP="00EC34EB">
      <w:pPr>
        <w:pStyle w:val="3GPPHeader"/>
        <w:ind w:left="1695" w:hanging="1695"/>
        <w:jc w:val="left"/>
        <w:rPr>
          <w:rFonts w:eastAsia="Arial Unicode MS" w:cs="Arial"/>
          <w:szCs w:val="22"/>
        </w:rPr>
      </w:pPr>
      <w:r w:rsidRPr="0089070B">
        <w:rPr>
          <w:rFonts w:eastAsia="Arial Unicode MS" w:cs="Arial"/>
          <w:szCs w:val="22"/>
        </w:rPr>
        <w:t>Title:</w:t>
      </w:r>
      <w:r w:rsidRPr="0089070B">
        <w:rPr>
          <w:rFonts w:eastAsia="Arial Unicode MS" w:cs="Arial"/>
          <w:szCs w:val="22"/>
        </w:rPr>
        <w:tab/>
      </w:r>
      <w:r w:rsidR="000041A0" w:rsidRPr="000041A0">
        <w:rPr>
          <w:rFonts w:eastAsia="等线" w:cs="Arial"/>
          <w:szCs w:val="22"/>
        </w:rPr>
        <w:t>Further discussion on alignment of MDT and QoE Measurements</w:t>
      </w:r>
    </w:p>
    <w:p w14:paraId="502715B8" w14:textId="48D7517C" w:rsidR="00D90766" w:rsidRPr="0089070B" w:rsidRDefault="00D90766" w:rsidP="00EC34EB">
      <w:pPr>
        <w:pStyle w:val="3GPPHeader"/>
        <w:ind w:left="1695" w:hanging="1695"/>
        <w:jc w:val="left"/>
        <w:rPr>
          <w:rFonts w:eastAsia="Arial Unicode MS" w:cs="Arial"/>
          <w:szCs w:val="22"/>
        </w:rPr>
      </w:pPr>
      <w:r w:rsidRPr="0089070B">
        <w:rPr>
          <w:rFonts w:eastAsia="Arial Unicode MS" w:cs="Arial"/>
          <w:szCs w:val="22"/>
        </w:rPr>
        <w:t>Document for:</w:t>
      </w:r>
      <w:r w:rsidRPr="0089070B">
        <w:rPr>
          <w:rFonts w:eastAsia="Arial Unicode MS" w:cs="Arial"/>
          <w:szCs w:val="22"/>
        </w:rPr>
        <w:tab/>
      </w:r>
      <w:r w:rsidR="006173EC">
        <w:rPr>
          <w:rFonts w:eastAsia="Arial Unicode MS" w:cs="Arial"/>
          <w:szCs w:val="22"/>
        </w:rPr>
        <w:t>Agreement</w:t>
      </w:r>
      <w:bookmarkStart w:id="0" w:name="_GoBack"/>
      <w:bookmarkEnd w:id="0"/>
    </w:p>
    <w:p w14:paraId="6BAD3427" w14:textId="77777777" w:rsidR="00D90766" w:rsidRPr="005E7DF5" w:rsidRDefault="00D90766" w:rsidP="00EC34EB">
      <w:pPr>
        <w:pStyle w:val="1"/>
        <w:rPr>
          <w:rFonts w:asciiTheme="minorHAnsi" w:hAnsiTheme="minorHAnsi" w:cstheme="minorHAnsi"/>
          <w:sz w:val="40"/>
        </w:rPr>
      </w:pPr>
      <w:r w:rsidRPr="005E7DF5">
        <w:rPr>
          <w:rFonts w:asciiTheme="minorHAnsi" w:hAnsiTheme="minorHAnsi" w:cstheme="minorHAnsi"/>
          <w:sz w:val="40"/>
        </w:rPr>
        <w:t>Introduction</w:t>
      </w:r>
    </w:p>
    <w:p w14:paraId="71EC7B91" w14:textId="53566BC9" w:rsidR="00935AB4" w:rsidRPr="00730C26" w:rsidRDefault="00730C26" w:rsidP="00730C26">
      <w:pPr>
        <w:pStyle w:val="IvDbodytext"/>
        <w:rPr>
          <w:rFonts w:asciiTheme="minorHAnsi" w:hAnsiTheme="minorHAnsi" w:cstheme="minorHAnsi"/>
          <w:sz w:val="22"/>
          <w:lang w:val="en-GB"/>
        </w:rPr>
      </w:pPr>
      <w:r>
        <w:rPr>
          <w:rStyle w:val="IvDbodytextChar"/>
          <w:rFonts w:asciiTheme="minorHAnsi" w:hAnsiTheme="minorHAnsi" w:cstheme="minorHAnsi"/>
          <w:sz w:val="22"/>
          <w:lang w:val="en-GB"/>
        </w:rPr>
        <w:t>By</w:t>
      </w:r>
      <w:r w:rsidR="00A03933">
        <w:rPr>
          <w:rStyle w:val="IvDbodytextChar"/>
          <w:rFonts w:asciiTheme="minorHAnsi" w:hAnsiTheme="minorHAnsi" w:cstheme="minorHAnsi"/>
          <w:sz w:val="22"/>
          <w:lang w:val="en-GB"/>
        </w:rPr>
        <w:t xml:space="preserve"> the RAN3#114</w:t>
      </w:r>
      <w:r w:rsidR="007A2CE8">
        <w:rPr>
          <w:rStyle w:val="IvDbodytextChar"/>
          <w:rFonts w:asciiTheme="minorHAnsi" w:hAnsiTheme="minorHAnsi" w:cstheme="minorHAnsi"/>
          <w:sz w:val="22"/>
          <w:lang w:val="en-GB"/>
        </w:rPr>
        <w:t>bis</w:t>
      </w:r>
      <w:r w:rsidR="00CA35B0" w:rsidRPr="00322CA7">
        <w:rPr>
          <w:rStyle w:val="IvDbodytextChar"/>
          <w:rFonts w:asciiTheme="minorHAnsi" w:hAnsiTheme="minorHAnsi" w:cstheme="minorHAnsi"/>
          <w:sz w:val="22"/>
          <w:lang w:val="en-GB"/>
        </w:rPr>
        <w:t>-e meeting, the following</w:t>
      </w:r>
      <w:r>
        <w:rPr>
          <w:rStyle w:val="IvDbodytextChar"/>
          <w:rFonts w:asciiTheme="minorHAnsi" w:hAnsiTheme="minorHAnsi" w:cstheme="minorHAnsi"/>
          <w:sz w:val="22"/>
          <w:lang w:val="en-GB"/>
        </w:rPr>
        <w:t xml:space="preserve"> issues have been discussed and approved</w:t>
      </w:r>
      <w:r w:rsidR="00CA35B0" w:rsidRPr="0075601B">
        <w:rPr>
          <w:rStyle w:val="IvDbodytextChar"/>
          <w:rFonts w:asciiTheme="minorHAnsi" w:hAnsiTheme="minorHAnsi" w:cstheme="minorHAnsi"/>
          <w:sz w:val="22"/>
          <w:lang w:val="en-GB"/>
        </w:rPr>
        <w:t>:</w:t>
      </w:r>
    </w:p>
    <w:p w14:paraId="49FFFA25" w14:textId="77777777" w:rsidR="003C57DD" w:rsidRPr="007A2CE8" w:rsidRDefault="003C57DD" w:rsidP="003C57DD">
      <w:pPr>
        <w:widowControl w:val="0"/>
        <w:ind w:left="144" w:hanging="144"/>
        <w:rPr>
          <w:b/>
          <w:bCs/>
          <w:color w:val="00B050"/>
          <w:sz w:val="16"/>
          <w:u w:val="single"/>
        </w:rPr>
      </w:pPr>
      <w:r w:rsidRPr="007A2CE8">
        <w:rPr>
          <w:b/>
          <w:bCs/>
          <w:color w:val="00B050"/>
          <w:sz w:val="22"/>
          <w:szCs w:val="28"/>
          <w:u w:val="single"/>
        </w:rPr>
        <w:t>Agreements:</w:t>
      </w:r>
    </w:p>
    <w:p w14:paraId="55C2BFEF" w14:textId="77777777" w:rsidR="007A2CE8" w:rsidRPr="007A2CE8" w:rsidRDefault="007A2CE8" w:rsidP="007A2CE8">
      <w:pPr>
        <w:rPr>
          <w:rFonts w:ascii="Calibri" w:hAnsi="Calibri" w:cs="Calibri"/>
          <w:color w:val="00B050"/>
          <w:sz w:val="18"/>
          <w:szCs w:val="16"/>
          <w:lang w:eastAsia="en-US"/>
        </w:rPr>
      </w:pPr>
      <w:r w:rsidRPr="007A2CE8">
        <w:rPr>
          <w:rFonts w:ascii="Calibri" w:hAnsi="Calibri" w:cs="Calibri"/>
          <w:color w:val="00B050"/>
          <w:sz w:val="18"/>
          <w:szCs w:val="16"/>
          <w:lang w:eastAsia="en-US"/>
        </w:rPr>
        <w:t>UE assisted solution can be used for MDT-QoE alignment. UE can indicate to gNB via a flag whether QoE Measurement Collection (QMC) started/ended in the UE. If the NG-RAN knows there is an MDT configuration associated with a QoE configuration (e.g., upon receiving NG-RAN Trace ID in the QoE configuration from OAM),</w:t>
      </w:r>
    </w:p>
    <w:p w14:paraId="2B4A09C5" w14:textId="77777777" w:rsidR="007A2CE8" w:rsidRPr="007A2CE8" w:rsidRDefault="007A2CE8" w:rsidP="007A2CE8">
      <w:pPr>
        <w:rPr>
          <w:rFonts w:ascii="Calibri" w:hAnsi="Calibri" w:cs="Calibri"/>
          <w:color w:val="00B050"/>
          <w:sz w:val="18"/>
          <w:szCs w:val="16"/>
          <w:lang w:eastAsia="en-US"/>
        </w:rPr>
      </w:pPr>
      <w:r w:rsidRPr="007A2CE8">
        <w:rPr>
          <w:rFonts w:ascii="Calibri" w:hAnsi="Calibri" w:cs="Calibri" w:hint="eastAsia"/>
          <w:color w:val="00B050"/>
          <w:sz w:val="18"/>
          <w:szCs w:val="16"/>
          <w:lang w:eastAsia="en-US"/>
        </w:rPr>
        <w:t>·</w:t>
      </w:r>
      <w:r w:rsidRPr="007A2CE8">
        <w:rPr>
          <w:rFonts w:ascii="Calibri" w:hAnsi="Calibri" w:cs="Calibri"/>
          <w:color w:val="00B050"/>
          <w:sz w:val="18"/>
          <w:szCs w:val="16"/>
          <w:lang w:eastAsia="en-US"/>
        </w:rPr>
        <w:t xml:space="preserve"> NG-RAN can configure the UE with that associated MDT configuration upon receiving the QMC start indication from the UE</w:t>
      </w:r>
    </w:p>
    <w:p w14:paraId="52658B27" w14:textId="77777777" w:rsidR="007A2CE8" w:rsidRPr="007A2CE8" w:rsidRDefault="007A2CE8" w:rsidP="007A2CE8">
      <w:pPr>
        <w:rPr>
          <w:rFonts w:ascii="Calibri" w:hAnsi="Calibri" w:cs="Calibri"/>
          <w:color w:val="00B050"/>
          <w:sz w:val="18"/>
          <w:szCs w:val="16"/>
          <w:lang w:eastAsia="en-US"/>
        </w:rPr>
      </w:pPr>
      <w:r w:rsidRPr="007A2CE8">
        <w:rPr>
          <w:rFonts w:ascii="Calibri" w:hAnsi="Calibri" w:cs="Calibri" w:hint="eastAsia"/>
          <w:color w:val="00B050"/>
          <w:sz w:val="18"/>
          <w:szCs w:val="16"/>
          <w:lang w:eastAsia="en-US"/>
        </w:rPr>
        <w:t>·</w:t>
      </w:r>
      <w:r w:rsidRPr="007A2CE8">
        <w:rPr>
          <w:rFonts w:ascii="Calibri" w:hAnsi="Calibri" w:cs="Calibri"/>
          <w:color w:val="00B050"/>
          <w:sz w:val="18"/>
          <w:szCs w:val="16"/>
          <w:lang w:eastAsia="en-US"/>
        </w:rPr>
        <w:t xml:space="preserve"> NG-RAN can deactivate the associated MDT configuration upon receiving the QMC end indication from the UE</w:t>
      </w:r>
    </w:p>
    <w:p w14:paraId="1C98470A" w14:textId="77777777" w:rsidR="007A2CE8" w:rsidRPr="007A2CE8" w:rsidRDefault="007A2CE8" w:rsidP="007A2CE8">
      <w:pPr>
        <w:rPr>
          <w:rFonts w:ascii="Calibri" w:hAnsi="Calibri" w:cs="Calibri"/>
          <w:color w:val="00B050"/>
          <w:sz w:val="18"/>
          <w:szCs w:val="16"/>
          <w:lang w:eastAsia="en-US"/>
        </w:rPr>
      </w:pPr>
      <w:r w:rsidRPr="007A2CE8">
        <w:rPr>
          <w:rFonts w:ascii="Calibri" w:hAnsi="Calibri" w:cs="Calibri"/>
          <w:color w:val="00B050"/>
          <w:sz w:val="18"/>
          <w:szCs w:val="16"/>
          <w:lang w:eastAsia="en-US"/>
        </w:rPr>
        <w:t>Send LS to RAN2 with the agreement.</w:t>
      </w:r>
    </w:p>
    <w:p w14:paraId="18EA0561" w14:textId="77777777" w:rsidR="007A2CE8" w:rsidRPr="007A2CE8" w:rsidRDefault="007A2CE8" w:rsidP="007A2CE8">
      <w:pPr>
        <w:rPr>
          <w:rFonts w:ascii="Calibri" w:hAnsi="Calibri" w:cs="Calibri"/>
          <w:color w:val="00B050"/>
          <w:sz w:val="18"/>
          <w:szCs w:val="16"/>
          <w:lang w:eastAsia="en-US"/>
        </w:rPr>
      </w:pPr>
      <w:r w:rsidRPr="007A2CE8">
        <w:rPr>
          <w:rFonts w:ascii="Calibri" w:hAnsi="Calibri" w:cs="Calibri"/>
          <w:color w:val="00B050"/>
          <w:sz w:val="18"/>
          <w:szCs w:val="16"/>
          <w:lang w:eastAsia="en-US"/>
        </w:rPr>
        <w:t>There is no need for OAM to include the QoE Reference of a QoE configuration in the MDT configuration sent to NG-RAN</w:t>
      </w:r>
    </w:p>
    <w:p w14:paraId="64DD1D4C" w14:textId="77777777" w:rsidR="007A2CE8" w:rsidRPr="007A2CE8" w:rsidRDefault="007A2CE8" w:rsidP="007A2CE8">
      <w:pPr>
        <w:rPr>
          <w:rFonts w:ascii="Calibri" w:hAnsi="Calibri" w:cs="Calibri"/>
          <w:color w:val="00B050"/>
          <w:sz w:val="18"/>
          <w:szCs w:val="16"/>
          <w:lang w:eastAsia="en-US"/>
        </w:rPr>
      </w:pPr>
      <w:r w:rsidRPr="007A2CE8">
        <w:rPr>
          <w:rFonts w:ascii="Calibri" w:hAnsi="Calibri" w:cs="Calibri"/>
          <w:color w:val="00B050"/>
          <w:sz w:val="18"/>
          <w:szCs w:val="16"/>
          <w:lang w:eastAsia="en-US"/>
        </w:rPr>
        <w:t>There is no need to send any QoE measurement status information from the gNB-CU-CP to the gNB-CU-UP and gNB-DU for the purpose of QoE–MDT alignment. If an MDT configuration is associated with a QoE configuration, the gNB-CU-CP can activate/deactivate the Immediate MDT configuration in the split RAN entities upon the reception of QMC start/stop indication from the UE.</w:t>
      </w:r>
    </w:p>
    <w:p w14:paraId="11B9DC41" w14:textId="77777777" w:rsidR="007A2CE8" w:rsidRPr="007A2CE8" w:rsidRDefault="007A2CE8" w:rsidP="007A2CE8">
      <w:pPr>
        <w:rPr>
          <w:rFonts w:ascii="Calibri" w:hAnsi="Calibri" w:cs="Calibri"/>
          <w:color w:val="00B050"/>
          <w:sz w:val="18"/>
          <w:szCs w:val="16"/>
          <w:lang w:eastAsia="en-US"/>
        </w:rPr>
      </w:pPr>
      <w:r w:rsidRPr="007A2CE8">
        <w:rPr>
          <w:rFonts w:ascii="Calibri" w:hAnsi="Calibri" w:cs="Calibri"/>
          <w:color w:val="00B050"/>
          <w:sz w:val="18"/>
          <w:szCs w:val="16"/>
          <w:lang w:eastAsia="en-US"/>
        </w:rPr>
        <w:t>RAN3 to down select between the following 2 options:</w:t>
      </w:r>
    </w:p>
    <w:p w14:paraId="224375D1" w14:textId="77777777" w:rsidR="007A2CE8" w:rsidRPr="007A2CE8" w:rsidRDefault="007A2CE8" w:rsidP="007A2CE8">
      <w:pPr>
        <w:rPr>
          <w:rFonts w:ascii="Calibri" w:hAnsi="Calibri" w:cs="Calibri"/>
          <w:color w:val="00B050"/>
          <w:sz w:val="18"/>
          <w:szCs w:val="16"/>
          <w:lang w:eastAsia="en-US"/>
        </w:rPr>
      </w:pPr>
      <w:r w:rsidRPr="007A2CE8">
        <w:rPr>
          <w:rFonts w:ascii="Calibri" w:hAnsi="Calibri" w:cs="Calibri" w:hint="eastAsia"/>
          <w:color w:val="00B050"/>
          <w:sz w:val="18"/>
          <w:szCs w:val="16"/>
          <w:lang w:eastAsia="en-US"/>
        </w:rPr>
        <w:t>·</w:t>
      </w:r>
      <w:r w:rsidRPr="007A2CE8">
        <w:rPr>
          <w:rFonts w:ascii="Calibri" w:hAnsi="Calibri" w:cs="Calibri"/>
          <w:color w:val="00B050"/>
          <w:sz w:val="18"/>
          <w:szCs w:val="16"/>
          <w:lang w:eastAsia="en-US"/>
        </w:rPr>
        <w:t xml:space="preserve"> Option 1: gNB-CU-CP can send the MCE address of the QoE configuration to gNB-DU and gNB-CU-UP so that it can forward the correlated MDT reports to the MCE. Agree to the E1/F1 and TS 38.401 TPs.</w:t>
      </w:r>
    </w:p>
    <w:p w14:paraId="110BA25A" w14:textId="77777777" w:rsidR="007A2CE8" w:rsidRPr="007A2CE8" w:rsidRDefault="007A2CE8" w:rsidP="007A2CE8">
      <w:pPr>
        <w:rPr>
          <w:rFonts w:ascii="Calibri" w:hAnsi="Calibri" w:cs="Calibri"/>
          <w:color w:val="00B050"/>
          <w:sz w:val="18"/>
          <w:szCs w:val="16"/>
          <w:lang w:eastAsia="en-US"/>
        </w:rPr>
      </w:pPr>
      <w:r w:rsidRPr="007A2CE8">
        <w:rPr>
          <w:rFonts w:ascii="Calibri" w:hAnsi="Calibri" w:cs="Calibri" w:hint="eastAsia"/>
          <w:color w:val="00B050"/>
          <w:sz w:val="18"/>
          <w:szCs w:val="16"/>
          <w:lang w:eastAsia="en-US"/>
        </w:rPr>
        <w:t>·</w:t>
      </w:r>
      <w:r w:rsidRPr="007A2CE8">
        <w:rPr>
          <w:rFonts w:ascii="Calibri" w:hAnsi="Calibri" w:cs="Calibri"/>
          <w:color w:val="00B050"/>
          <w:sz w:val="18"/>
          <w:szCs w:val="16"/>
          <w:lang w:eastAsia="en-US"/>
        </w:rPr>
        <w:t xml:space="preserve"> Option 2: OAM should make sure that the MCE and TCE have the same IP address for the correlated QoE-MDT configurations</w:t>
      </w:r>
    </w:p>
    <w:p w14:paraId="06601EDB" w14:textId="77777777" w:rsidR="007A2CE8" w:rsidRPr="007A2CE8" w:rsidRDefault="007A2CE8" w:rsidP="007A2CE8">
      <w:pPr>
        <w:rPr>
          <w:rFonts w:ascii="Calibri" w:hAnsi="Calibri" w:cs="Calibri"/>
          <w:color w:val="00B050"/>
          <w:sz w:val="18"/>
          <w:szCs w:val="16"/>
          <w:lang w:eastAsia="en-US"/>
        </w:rPr>
      </w:pPr>
      <w:r w:rsidRPr="007A2CE8">
        <w:rPr>
          <w:rFonts w:ascii="Calibri" w:hAnsi="Calibri" w:cs="Calibri"/>
          <w:color w:val="00B050"/>
          <w:sz w:val="18"/>
          <w:szCs w:val="16"/>
          <w:lang w:eastAsia="en-US"/>
        </w:rPr>
        <w:t>Proposal 6: Only QMC start and end timestamps are needed for MDT-QoE correlation. It is not necessary for NG-RAN to accurately timestamp the QoE reports sent in the middle of an ongoing session. MCE can use the reportTime included in the QoE report to know the timestamps of those QoE reports.</w:t>
      </w:r>
    </w:p>
    <w:p w14:paraId="308C67F7" w14:textId="77777777" w:rsidR="007A2CE8" w:rsidRPr="007A2CE8" w:rsidRDefault="007A2CE8" w:rsidP="007A2CE8">
      <w:pPr>
        <w:rPr>
          <w:rFonts w:ascii="Calibri" w:hAnsi="Calibri" w:cs="Calibri"/>
          <w:color w:val="00B050"/>
          <w:sz w:val="18"/>
          <w:szCs w:val="16"/>
          <w:lang w:eastAsia="en-US"/>
        </w:rPr>
      </w:pPr>
      <w:r w:rsidRPr="007A2CE8">
        <w:rPr>
          <w:rFonts w:ascii="Calibri" w:hAnsi="Calibri" w:cs="Calibri"/>
          <w:color w:val="00B050"/>
          <w:sz w:val="18"/>
          <w:szCs w:val="16"/>
          <w:lang w:eastAsia="en-US"/>
        </w:rPr>
        <w:t>There is no need for the NG-RAN to include the UE’s C-RNTI and UE mobility history in the QoE report sent to MCE</w:t>
      </w:r>
    </w:p>
    <w:p w14:paraId="157D2F3F" w14:textId="77777777" w:rsidR="007A2CE8" w:rsidRPr="007A2CE8" w:rsidRDefault="007A2CE8" w:rsidP="007A2CE8">
      <w:pPr>
        <w:rPr>
          <w:rFonts w:ascii="Calibri" w:hAnsi="Calibri" w:cs="Calibri"/>
          <w:color w:val="00B050"/>
          <w:sz w:val="18"/>
          <w:szCs w:val="16"/>
          <w:lang w:eastAsia="en-US"/>
        </w:rPr>
      </w:pPr>
      <w:r w:rsidRPr="007A2CE8">
        <w:rPr>
          <w:rFonts w:ascii="Calibri" w:hAnsi="Calibri" w:cs="Calibri"/>
          <w:color w:val="00B050"/>
          <w:sz w:val="18"/>
          <w:szCs w:val="16"/>
          <w:lang w:eastAsia="en-US"/>
        </w:rPr>
        <w:t>NG-RAN can add a coarse QMC start/end timestamp autonomously in the QoE report sent to MCE based on QMC start/end indication from UE. If accurate timestamp information is desired, startTime / stopTime already included by UE in the QoE report can be used for correlating MDT-QoE at MCE</w:t>
      </w:r>
    </w:p>
    <w:p w14:paraId="7E8A466B" w14:textId="77777777" w:rsidR="007A2CE8" w:rsidRPr="007A2CE8" w:rsidRDefault="007A2CE8" w:rsidP="007A2CE8">
      <w:pPr>
        <w:rPr>
          <w:rFonts w:ascii="Calibri" w:hAnsi="Calibri" w:cs="Calibri"/>
          <w:color w:val="00B050"/>
          <w:sz w:val="18"/>
          <w:szCs w:val="16"/>
          <w:lang w:eastAsia="en-US"/>
        </w:rPr>
      </w:pPr>
      <w:r w:rsidRPr="007A2CE8">
        <w:rPr>
          <w:rFonts w:ascii="Calibri" w:hAnsi="Calibri" w:cs="Calibri"/>
          <w:color w:val="00B050"/>
          <w:sz w:val="18"/>
          <w:szCs w:val="16"/>
          <w:lang w:eastAsia="en-US"/>
        </w:rPr>
        <w:t>UE is not requested to provide any assistance over Uu to correct the QoE report time stamps e.g., the time elapsed between QoE measurements and the actual time the QoE measurements are reported over RRC, in case of paused QoE scenario</w:t>
      </w:r>
    </w:p>
    <w:p w14:paraId="19BC8277" w14:textId="4CE4BCF1" w:rsidR="007A2CE8" w:rsidRPr="007A2CE8" w:rsidRDefault="007A2CE8" w:rsidP="007A2CE8">
      <w:pPr>
        <w:rPr>
          <w:rFonts w:ascii="Calibri" w:hAnsi="Calibri" w:cs="Calibri"/>
          <w:color w:val="00B050"/>
          <w:sz w:val="18"/>
          <w:szCs w:val="16"/>
          <w:lang w:eastAsia="en-US"/>
        </w:rPr>
      </w:pPr>
      <w:r w:rsidRPr="007A2CE8">
        <w:rPr>
          <w:rFonts w:ascii="Calibri" w:hAnsi="Calibri" w:cs="Calibri"/>
          <w:color w:val="00B050"/>
          <w:sz w:val="18"/>
          <w:szCs w:val="16"/>
          <w:lang w:eastAsia="en-US"/>
        </w:rPr>
        <w:t>There is no need for NG-RAN to include the UE’s serving CGI in the QoE report to uniquely identify the TRSR of the correlated MDT (as the TRSR duplication scenario is a corner case)</w:t>
      </w:r>
    </w:p>
    <w:p w14:paraId="4A267AA8" w14:textId="77777777" w:rsidR="007A2CE8" w:rsidRPr="007A2CE8" w:rsidRDefault="007A2CE8" w:rsidP="007A2CE8">
      <w:pPr>
        <w:rPr>
          <w:rFonts w:ascii="Calibri" w:hAnsi="Calibri" w:cs="Calibri"/>
          <w:i/>
          <w:iCs/>
          <w:color w:val="FF0000"/>
          <w:sz w:val="18"/>
          <w:szCs w:val="16"/>
          <w:lang w:eastAsia="en-US"/>
        </w:rPr>
      </w:pPr>
      <w:r w:rsidRPr="007A2CE8">
        <w:rPr>
          <w:rFonts w:ascii="Calibri" w:hAnsi="Calibri" w:cs="Calibri"/>
          <w:i/>
          <w:iCs/>
          <w:color w:val="FF0000"/>
          <w:sz w:val="18"/>
          <w:szCs w:val="16"/>
          <w:lang w:eastAsia="en-US"/>
        </w:rPr>
        <w:t>FFS whether to support the alignment between s-based QoE and m-based MDT.</w:t>
      </w:r>
    </w:p>
    <w:p w14:paraId="5AEF9C60" w14:textId="1C4193EB" w:rsidR="007A2CE8" w:rsidRPr="007A2CE8" w:rsidRDefault="007A2CE8" w:rsidP="007A2CE8">
      <w:pPr>
        <w:rPr>
          <w:rFonts w:ascii="Calibri" w:hAnsi="Calibri" w:cs="Calibri"/>
          <w:i/>
          <w:iCs/>
          <w:color w:val="FF0000"/>
          <w:sz w:val="18"/>
          <w:szCs w:val="16"/>
          <w:lang w:eastAsia="en-US"/>
        </w:rPr>
      </w:pPr>
      <w:r w:rsidRPr="007A2CE8">
        <w:rPr>
          <w:rFonts w:ascii="Calibri" w:hAnsi="Calibri" w:cs="Calibri"/>
          <w:i/>
          <w:iCs/>
          <w:color w:val="FF0000"/>
          <w:sz w:val="18"/>
          <w:szCs w:val="16"/>
          <w:lang w:eastAsia="en-US"/>
        </w:rPr>
        <w:t>FFS whether to support the scenario where QoE measurement session span across multiple gNBs configured with m-based MDT with different Trace Reference. The following is to be clarified:</w:t>
      </w:r>
    </w:p>
    <w:p w14:paraId="354EE9D7" w14:textId="77777777" w:rsidR="007A2CE8" w:rsidRPr="007A2CE8" w:rsidRDefault="007A2CE8" w:rsidP="007A2CE8">
      <w:pPr>
        <w:rPr>
          <w:rFonts w:ascii="Calibri" w:hAnsi="Calibri" w:cs="Calibri"/>
          <w:i/>
          <w:iCs/>
          <w:color w:val="FF0000"/>
          <w:sz w:val="18"/>
          <w:szCs w:val="16"/>
          <w:lang w:eastAsia="en-US"/>
        </w:rPr>
      </w:pPr>
      <w:r w:rsidRPr="007A2CE8">
        <w:rPr>
          <w:rFonts w:ascii="Calibri" w:hAnsi="Calibri" w:cs="Calibri"/>
          <w:i/>
          <w:iCs/>
          <w:color w:val="FF0000"/>
          <w:sz w:val="18"/>
          <w:szCs w:val="16"/>
          <w:lang w:eastAsia="en-US"/>
        </w:rPr>
        <w:t>·         Is this scenario to make sure MCE understands the same UE?</w:t>
      </w:r>
    </w:p>
    <w:p w14:paraId="2F6DA437" w14:textId="77777777" w:rsidR="007A2CE8" w:rsidRPr="007A2CE8" w:rsidRDefault="007A2CE8" w:rsidP="007A2CE8">
      <w:pPr>
        <w:rPr>
          <w:rFonts w:ascii="Calibri" w:hAnsi="Calibri" w:cs="Calibri"/>
          <w:i/>
          <w:iCs/>
          <w:color w:val="FF0000"/>
          <w:sz w:val="18"/>
          <w:szCs w:val="16"/>
          <w:lang w:eastAsia="en-US"/>
        </w:rPr>
      </w:pPr>
      <w:r w:rsidRPr="007A2CE8">
        <w:rPr>
          <w:rFonts w:ascii="Calibri" w:hAnsi="Calibri" w:cs="Calibri"/>
          <w:i/>
          <w:iCs/>
          <w:color w:val="FF0000"/>
          <w:sz w:val="18"/>
          <w:szCs w:val="16"/>
          <w:lang w:eastAsia="en-US"/>
        </w:rPr>
        <w:t>·         There is no requirement today to ensure an incoming UE (handover from another gNB) is selected for m-based MDT. Isn’t that needed for the above scenario?</w:t>
      </w:r>
    </w:p>
    <w:p w14:paraId="7E314ACE" w14:textId="413C5F17" w:rsidR="007A2CE8" w:rsidRPr="003D5520" w:rsidRDefault="007A2CE8" w:rsidP="007A2CE8">
      <w:pPr>
        <w:rPr>
          <w:rFonts w:ascii="Calibri" w:hAnsi="Calibri" w:cs="Calibri"/>
          <w:color w:val="00B050"/>
          <w:sz w:val="16"/>
          <w:szCs w:val="16"/>
          <w:lang w:eastAsia="en-US"/>
        </w:rPr>
      </w:pPr>
    </w:p>
    <w:p w14:paraId="45F87257" w14:textId="6F15E5FB" w:rsidR="00741B4A" w:rsidRPr="00741B4A" w:rsidRDefault="00322CA7" w:rsidP="0075601B">
      <w:pPr>
        <w:pStyle w:val="IvDInstructiontext"/>
        <w:spacing w:before="0" w:after="120"/>
        <w:rPr>
          <w:rStyle w:val="IvDbodytextChar"/>
          <w:rFonts w:asciiTheme="minorHAnsi" w:hAnsiTheme="minorHAnsi" w:cstheme="minorHAnsi"/>
          <w:i w:val="0"/>
          <w:color w:val="auto"/>
          <w:sz w:val="22"/>
          <w:lang w:val="en-GB"/>
        </w:rPr>
      </w:pPr>
      <w:r w:rsidRPr="005E7DF5">
        <w:rPr>
          <w:rStyle w:val="IvDbodytextChar"/>
          <w:rFonts w:asciiTheme="minorHAnsi" w:hAnsiTheme="minorHAnsi" w:cstheme="minorHAnsi"/>
          <w:i w:val="0"/>
          <w:color w:val="auto"/>
          <w:sz w:val="22"/>
          <w:lang w:val="en-GB"/>
        </w:rPr>
        <w:t xml:space="preserve">This paper discusses </w:t>
      </w:r>
      <w:r w:rsidR="007A2CE8">
        <w:rPr>
          <w:rStyle w:val="IvDbodytextChar"/>
          <w:rFonts w:asciiTheme="minorHAnsi" w:eastAsia="等线" w:hAnsiTheme="minorHAnsi" w:cstheme="minorHAnsi"/>
          <w:i w:val="0"/>
          <w:color w:val="auto"/>
          <w:sz w:val="22"/>
          <w:lang w:val="en-GB" w:eastAsia="zh-CN"/>
        </w:rPr>
        <w:t xml:space="preserve">remaining </w:t>
      </w:r>
      <w:r w:rsidR="005F22B2">
        <w:rPr>
          <w:rStyle w:val="IvDbodytextChar"/>
          <w:rFonts w:asciiTheme="minorHAnsi" w:eastAsia="等线" w:hAnsiTheme="minorHAnsi" w:cstheme="minorHAnsi"/>
          <w:i w:val="0"/>
          <w:color w:val="auto"/>
          <w:sz w:val="22"/>
          <w:lang w:val="en-GB" w:eastAsia="zh-CN"/>
        </w:rPr>
        <w:t>enhancement</w:t>
      </w:r>
      <w:r w:rsidR="007A2CE8">
        <w:rPr>
          <w:rStyle w:val="IvDbodytextChar"/>
          <w:rFonts w:asciiTheme="minorHAnsi" w:eastAsia="等线" w:hAnsiTheme="minorHAnsi" w:cstheme="minorHAnsi"/>
          <w:i w:val="0"/>
          <w:color w:val="auto"/>
          <w:sz w:val="22"/>
          <w:lang w:val="en-GB" w:eastAsia="zh-CN"/>
        </w:rPr>
        <w:t xml:space="preserve"> needed to be done</w:t>
      </w:r>
      <w:r w:rsidR="005F22B2">
        <w:rPr>
          <w:rStyle w:val="IvDbodytextChar"/>
          <w:rFonts w:asciiTheme="minorHAnsi" w:eastAsia="等线" w:hAnsiTheme="minorHAnsi" w:cstheme="minorHAnsi"/>
          <w:i w:val="0"/>
          <w:color w:val="auto"/>
          <w:sz w:val="22"/>
          <w:lang w:val="en-GB" w:eastAsia="zh-CN"/>
        </w:rPr>
        <w:t xml:space="preserve"> for</w:t>
      </w:r>
      <w:r w:rsidR="000041A0">
        <w:rPr>
          <w:rStyle w:val="IvDbodytextChar"/>
          <w:rFonts w:asciiTheme="minorHAnsi" w:eastAsia="等线" w:hAnsiTheme="minorHAnsi" w:cstheme="minorHAnsi"/>
          <w:i w:val="0"/>
          <w:color w:val="auto"/>
          <w:sz w:val="22"/>
          <w:lang w:val="en-GB" w:eastAsia="zh-CN"/>
        </w:rPr>
        <w:t xml:space="preserve"> alignment of MDT and </w:t>
      </w:r>
      <w:r>
        <w:rPr>
          <w:rStyle w:val="IvDbodytextChar"/>
          <w:rFonts w:asciiTheme="minorHAnsi" w:hAnsiTheme="minorHAnsi" w:cstheme="minorHAnsi"/>
          <w:i w:val="0"/>
          <w:color w:val="auto"/>
          <w:sz w:val="22"/>
          <w:lang w:val="en-GB"/>
        </w:rPr>
        <w:t>QoE</w:t>
      </w:r>
      <w:r w:rsidR="000041A0">
        <w:rPr>
          <w:rStyle w:val="IvDbodytextChar"/>
          <w:rFonts w:asciiTheme="minorHAnsi" w:hAnsiTheme="minorHAnsi" w:cstheme="minorHAnsi"/>
          <w:i w:val="0"/>
          <w:color w:val="auto"/>
          <w:sz w:val="22"/>
          <w:lang w:val="en-GB"/>
        </w:rPr>
        <w:t xml:space="preserve"> measurements</w:t>
      </w:r>
      <w:r w:rsidR="005F22B2">
        <w:rPr>
          <w:rStyle w:val="IvDbodytextChar"/>
          <w:rFonts w:asciiTheme="minorHAnsi" w:hAnsiTheme="minorHAnsi" w:cstheme="minorHAnsi"/>
          <w:i w:val="0"/>
          <w:color w:val="auto"/>
          <w:sz w:val="22"/>
          <w:lang w:val="en-GB"/>
        </w:rPr>
        <w:t xml:space="preserve"> </w:t>
      </w:r>
      <w:r w:rsidR="007A2CE8">
        <w:rPr>
          <w:rStyle w:val="IvDbodytextChar"/>
          <w:rFonts w:asciiTheme="minorHAnsi" w:hAnsiTheme="minorHAnsi" w:cstheme="minorHAnsi"/>
          <w:i w:val="0"/>
          <w:color w:val="auto"/>
          <w:sz w:val="22"/>
          <w:lang w:val="en-GB"/>
        </w:rPr>
        <w:t>in order to f</w:t>
      </w:r>
      <w:r w:rsidR="007A2CE8" w:rsidRPr="007A2CE8">
        <w:rPr>
          <w:rStyle w:val="IvDbodytextChar"/>
          <w:rFonts w:asciiTheme="minorHAnsi" w:hAnsiTheme="minorHAnsi" w:cstheme="minorHAnsi"/>
          <w:i w:val="0"/>
          <w:color w:val="auto"/>
          <w:sz w:val="22"/>
          <w:lang w:val="en-GB"/>
        </w:rPr>
        <w:t>inalize the solution in R17</w:t>
      </w:r>
      <w:r w:rsidR="007A2CE8">
        <w:rPr>
          <w:rStyle w:val="IvDbodytextChar"/>
          <w:rFonts w:asciiTheme="minorHAnsi" w:hAnsiTheme="minorHAnsi" w:cstheme="minorHAnsi"/>
          <w:i w:val="0"/>
          <w:color w:val="auto"/>
          <w:sz w:val="22"/>
          <w:lang w:val="en-GB"/>
        </w:rPr>
        <w:t>.</w:t>
      </w:r>
    </w:p>
    <w:p w14:paraId="10D9B241" w14:textId="62532A2B" w:rsidR="00D90766" w:rsidRDefault="00855544" w:rsidP="00EC34EB">
      <w:pPr>
        <w:pStyle w:val="1"/>
        <w:rPr>
          <w:rFonts w:asciiTheme="minorHAnsi" w:hAnsiTheme="minorHAnsi" w:cstheme="minorHAnsi"/>
          <w:sz w:val="40"/>
        </w:rPr>
      </w:pPr>
      <w:r>
        <w:rPr>
          <w:rFonts w:asciiTheme="minorHAnsi" w:hAnsiTheme="minorHAnsi" w:cstheme="minorHAnsi"/>
          <w:sz w:val="40"/>
        </w:rPr>
        <w:lastRenderedPageBreak/>
        <w:t>Discussion</w:t>
      </w:r>
    </w:p>
    <w:p w14:paraId="2E6F2CB6" w14:textId="65814AE5" w:rsidR="00E67B15" w:rsidRPr="00C444E8" w:rsidRDefault="00B416AF" w:rsidP="00701B48">
      <w:pPr>
        <w:widowControl w:val="0"/>
        <w:rPr>
          <w:rFonts w:ascii="Calibri" w:eastAsia="等线" w:hAnsi="Calibri" w:cs="Calibri"/>
          <w:sz w:val="22"/>
          <w:szCs w:val="22"/>
        </w:rPr>
      </w:pPr>
      <w:r>
        <w:rPr>
          <w:rFonts w:ascii="Calibri" w:hAnsi="Calibri" w:cs="Calibri"/>
          <w:sz w:val="22"/>
          <w:szCs w:val="22"/>
        </w:rPr>
        <w:t>As we discussed before, QoE measurement can be aligned with ongoing MDT measurement if any. In this case, it is obvious that the scenario: s-based QoE aligned with ongoing m-based MDT measurement</w:t>
      </w:r>
      <w:r w:rsidR="00E410D7">
        <w:rPr>
          <w:rFonts w:ascii="Calibri" w:hAnsi="Calibri" w:cs="Calibri"/>
          <w:sz w:val="22"/>
          <w:szCs w:val="22"/>
        </w:rPr>
        <w:t xml:space="preserve"> would exist </w:t>
      </w:r>
      <w:r w:rsidR="00E410D7" w:rsidRPr="00E410D7">
        <w:rPr>
          <w:rFonts w:ascii="Calibri" w:hAnsi="Calibri" w:cs="Calibri"/>
          <w:sz w:val="22"/>
          <w:szCs w:val="22"/>
        </w:rPr>
        <w:t>with a great probability.</w:t>
      </w:r>
      <w:r w:rsidR="00E410D7">
        <w:rPr>
          <w:rFonts w:ascii="Calibri" w:hAnsi="Calibri" w:cs="Calibri"/>
          <w:sz w:val="22"/>
          <w:szCs w:val="22"/>
        </w:rPr>
        <w:t xml:space="preserve"> </w:t>
      </w:r>
      <w:r w:rsidR="008F1045">
        <w:rPr>
          <w:rFonts w:ascii="Calibri" w:hAnsi="Calibri" w:cs="Calibri"/>
          <w:sz w:val="22"/>
          <w:szCs w:val="22"/>
        </w:rPr>
        <w:t xml:space="preserve">More importantly, OAM is aware of the trace id (TR and TRSR) of ongoing MDT measurement toward a UE regardless of the type of it, so if the OAM wants to activate a s-based QoE configuration to a UE, it can firstly </w:t>
      </w:r>
      <w:r w:rsidR="008965E0">
        <w:rPr>
          <w:rFonts w:ascii="Calibri" w:hAnsi="Calibri" w:cs="Calibri"/>
          <w:sz w:val="22"/>
          <w:szCs w:val="22"/>
        </w:rPr>
        <w:t xml:space="preserve">check the UE if there is any MDT measurement is already configured, then OAM can automatically configure a new MDT measurement OR just add the trace id of the ongoing MDT measurement. In that case, there is no specification impacts on supporting alignment of </w:t>
      </w:r>
      <w:r w:rsidR="008965E0">
        <w:rPr>
          <w:rFonts w:ascii="Calibri" w:eastAsia="等线" w:hAnsi="Calibri" w:cs="Calibri"/>
          <w:sz w:val="22"/>
          <w:szCs w:val="22"/>
        </w:rPr>
        <w:t>m-based MDT and s-based QoE</w:t>
      </w:r>
      <w:r w:rsidR="008965E0">
        <w:rPr>
          <w:rFonts w:ascii="Calibri" w:eastAsia="等线" w:hAnsi="Calibri" w:cs="Calibri" w:hint="eastAsia"/>
          <w:sz w:val="22"/>
          <w:szCs w:val="22"/>
        </w:rPr>
        <w:t>.</w:t>
      </w:r>
    </w:p>
    <w:p w14:paraId="3B4CB238" w14:textId="1837483B" w:rsidR="00BE0793" w:rsidRDefault="0083163B" w:rsidP="00BF6F02">
      <w:pPr>
        <w:rPr>
          <w:rFonts w:ascii="Calibri" w:hAnsi="Calibri" w:cs="Calibri"/>
          <w:b/>
          <w:bCs/>
          <w:sz w:val="24"/>
          <w:szCs w:val="22"/>
        </w:rPr>
      </w:pPr>
      <w:r w:rsidRPr="005B5172">
        <w:rPr>
          <w:rFonts w:ascii="Calibri" w:hAnsi="Calibri" w:cs="Calibri"/>
          <w:b/>
          <w:sz w:val="24"/>
          <w:szCs w:val="22"/>
        </w:rPr>
        <w:t xml:space="preserve">Proposal </w:t>
      </w:r>
      <w:r w:rsidR="00701B48" w:rsidRPr="005B5172">
        <w:rPr>
          <w:rFonts w:ascii="Calibri" w:hAnsi="Calibri" w:cs="Calibri"/>
          <w:b/>
          <w:bCs/>
          <w:sz w:val="24"/>
          <w:szCs w:val="22"/>
        </w:rPr>
        <w:t>1</w:t>
      </w:r>
      <w:r w:rsidRPr="005B5172">
        <w:rPr>
          <w:rFonts w:ascii="Calibri" w:hAnsi="Calibri" w:cs="Calibri"/>
          <w:b/>
          <w:bCs/>
          <w:sz w:val="24"/>
          <w:szCs w:val="22"/>
        </w:rPr>
        <w:t xml:space="preserve">: </w:t>
      </w:r>
      <w:r w:rsidR="00BF6F02">
        <w:rPr>
          <w:rFonts w:ascii="Calibri" w:hAnsi="Calibri" w:cs="Calibri"/>
          <w:b/>
          <w:bCs/>
          <w:sz w:val="24"/>
          <w:szCs w:val="22"/>
        </w:rPr>
        <w:t>S</w:t>
      </w:r>
      <w:r w:rsidR="00FA05CF" w:rsidRPr="005B5172">
        <w:rPr>
          <w:rFonts w:ascii="Calibri" w:hAnsi="Calibri" w:cs="Calibri"/>
          <w:b/>
          <w:bCs/>
          <w:sz w:val="24"/>
          <w:szCs w:val="22"/>
        </w:rPr>
        <w:t>upport</w:t>
      </w:r>
      <w:r w:rsidR="00BF6F02">
        <w:rPr>
          <w:rFonts w:ascii="Calibri" w:hAnsi="Calibri" w:cs="Calibri"/>
          <w:b/>
          <w:bCs/>
          <w:sz w:val="24"/>
          <w:szCs w:val="22"/>
        </w:rPr>
        <w:t>ing the</w:t>
      </w:r>
      <w:r w:rsidR="00FA05CF" w:rsidRPr="005B5172">
        <w:rPr>
          <w:rFonts w:ascii="Calibri" w:hAnsi="Calibri" w:cs="Calibri"/>
          <w:b/>
          <w:bCs/>
          <w:sz w:val="24"/>
          <w:szCs w:val="22"/>
        </w:rPr>
        <w:t xml:space="preserve"> alignment between s-based QoE and m-based MDT</w:t>
      </w:r>
      <w:r w:rsidR="00BF6F02" w:rsidRPr="00BF6F02">
        <w:rPr>
          <w:rFonts w:ascii="Calibri" w:hAnsi="Calibri" w:cs="Calibri"/>
          <w:b/>
          <w:bCs/>
          <w:sz w:val="24"/>
          <w:szCs w:val="22"/>
        </w:rPr>
        <w:t xml:space="preserve"> </w:t>
      </w:r>
      <w:r w:rsidR="00BF6F02">
        <w:rPr>
          <w:rFonts w:ascii="Calibri" w:hAnsi="Calibri" w:cs="Calibri"/>
          <w:b/>
          <w:bCs/>
          <w:sz w:val="24"/>
          <w:szCs w:val="22"/>
        </w:rPr>
        <w:t>in Rel-17.</w:t>
      </w:r>
    </w:p>
    <w:p w14:paraId="1E991C9B" w14:textId="7259C183" w:rsidR="006C6F26" w:rsidRPr="00BF6F02" w:rsidRDefault="006C6F26" w:rsidP="00F05303">
      <w:pPr>
        <w:rPr>
          <w:rFonts w:ascii="Calibri" w:eastAsia="等线" w:hAnsi="Calibri" w:cs="Calibri"/>
          <w:b/>
          <w:bCs/>
          <w:sz w:val="24"/>
          <w:szCs w:val="22"/>
        </w:rPr>
      </w:pPr>
    </w:p>
    <w:p w14:paraId="4296D04C" w14:textId="632F7D9C" w:rsidR="00FA05CF" w:rsidRPr="006C6F26" w:rsidRDefault="006C6F26" w:rsidP="00F05303">
      <w:pPr>
        <w:rPr>
          <w:rFonts w:ascii="Calibri" w:eastAsia="等线" w:hAnsi="Calibri" w:cs="Calibri"/>
          <w:bCs/>
          <w:sz w:val="22"/>
          <w:szCs w:val="22"/>
        </w:rPr>
      </w:pPr>
      <w:r w:rsidRPr="006C6F26">
        <w:rPr>
          <w:rFonts w:ascii="Calibri" w:eastAsia="等线" w:hAnsi="Calibri" w:cs="Calibri" w:hint="eastAsia"/>
          <w:bCs/>
          <w:sz w:val="22"/>
          <w:szCs w:val="22"/>
        </w:rPr>
        <w:t>In</w:t>
      </w:r>
      <w:r w:rsidRPr="006C6F26">
        <w:rPr>
          <w:rFonts w:ascii="Calibri" w:eastAsia="等线" w:hAnsi="Calibri" w:cs="Calibri"/>
          <w:bCs/>
          <w:sz w:val="22"/>
          <w:szCs w:val="22"/>
        </w:rPr>
        <w:t xml:space="preserve"> RAN3 #114bis-e meeting</w:t>
      </w:r>
      <w:r>
        <w:rPr>
          <w:rFonts w:ascii="Calibri" w:eastAsia="等线" w:hAnsi="Calibri" w:cs="Calibri"/>
          <w:bCs/>
          <w:sz w:val="22"/>
          <w:szCs w:val="22"/>
        </w:rPr>
        <w:t xml:space="preserve">, there is a down selection left as follows: </w:t>
      </w:r>
    </w:p>
    <w:p w14:paraId="7E5DB58E" w14:textId="77777777" w:rsidR="00863B75" w:rsidRPr="00863B75" w:rsidRDefault="00863B75" w:rsidP="00863B75">
      <w:pPr>
        <w:rPr>
          <w:rFonts w:ascii="Calibri" w:eastAsia="等线" w:hAnsi="Calibri" w:cs="Calibri"/>
          <w:bCs/>
          <w:i/>
          <w:sz w:val="22"/>
          <w:szCs w:val="22"/>
        </w:rPr>
      </w:pPr>
      <w:r w:rsidRPr="00863B75">
        <w:rPr>
          <w:rFonts w:ascii="Calibri" w:eastAsia="等线" w:hAnsi="Calibri" w:cs="Calibri"/>
          <w:bCs/>
          <w:i/>
          <w:sz w:val="22"/>
          <w:szCs w:val="22"/>
        </w:rPr>
        <w:t>RAN3 to down select between the following 2 options:</w:t>
      </w:r>
    </w:p>
    <w:p w14:paraId="6C0B002B" w14:textId="77777777" w:rsidR="00863B75" w:rsidRPr="00863B75" w:rsidRDefault="00863B75" w:rsidP="00863B75">
      <w:pPr>
        <w:rPr>
          <w:rFonts w:ascii="Calibri" w:eastAsia="等线" w:hAnsi="Calibri" w:cs="Calibri"/>
          <w:bCs/>
          <w:i/>
          <w:sz w:val="22"/>
          <w:szCs w:val="22"/>
        </w:rPr>
      </w:pPr>
      <w:r w:rsidRPr="00863B75">
        <w:rPr>
          <w:rFonts w:ascii="Calibri" w:eastAsia="等线" w:hAnsi="Calibri" w:cs="Calibri" w:hint="eastAsia"/>
          <w:bCs/>
          <w:i/>
          <w:sz w:val="22"/>
          <w:szCs w:val="22"/>
        </w:rPr>
        <w:t>·</w:t>
      </w:r>
      <w:r w:rsidRPr="00863B75">
        <w:rPr>
          <w:rFonts w:ascii="Calibri" w:eastAsia="等线" w:hAnsi="Calibri" w:cs="Calibri"/>
          <w:bCs/>
          <w:i/>
          <w:sz w:val="22"/>
          <w:szCs w:val="22"/>
        </w:rPr>
        <w:t xml:space="preserve"> Option 1: gNB-CU-CP can send the MCE address of the QoE configuration to gNB-DU and gNB-CU-UP so that it can forward the correlated MDT reports to the MCE. Agree to the E1/F1 and TS 38.401 TPs.</w:t>
      </w:r>
    </w:p>
    <w:p w14:paraId="0A258965" w14:textId="4A7BF0D3" w:rsidR="00863B75" w:rsidRPr="006C6F26" w:rsidRDefault="00863B75" w:rsidP="00F05303">
      <w:pPr>
        <w:rPr>
          <w:rFonts w:ascii="Calibri" w:eastAsia="等线" w:hAnsi="Calibri" w:cs="Calibri"/>
          <w:bCs/>
          <w:i/>
          <w:sz w:val="22"/>
          <w:szCs w:val="22"/>
        </w:rPr>
      </w:pPr>
      <w:r w:rsidRPr="00863B75">
        <w:rPr>
          <w:rFonts w:ascii="Calibri" w:eastAsia="等线" w:hAnsi="Calibri" w:cs="Calibri" w:hint="eastAsia"/>
          <w:bCs/>
          <w:i/>
          <w:sz w:val="22"/>
          <w:szCs w:val="22"/>
        </w:rPr>
        <w:t>·</w:t>
      </w:r>
      <w:r w:rsidRPr="00863B75">
        <w:rPr>
          <w:rFonts w:ascii="Calibri" w:eastAsia="等线" w:hAnsi="Calibri" w:cs="Calibri"/>
          <w:bCs/>
          <w:i/>
          <w:sz w:val="22"/>
          <w:szCs w:val="22"/>
        </w:rPr>
        <w:t xml:space="preserve"> Option 2: OAM should make sure that the MCE and TCE have the same IP address for the correlated QoE-MDT configurations</w:t>
      </w:r>
    </w:p>
    <w:p w14:paraId="5841B4A2" w14:textId="01DB8EE9" w:rsidR="00FA05CF" w:rsidRPr="00594177" w:rsidRDefault="00FA05CF" w:rsidP="00F05303">
      <w:pPr>
        <w:rPr>
          <w:rFonts w:ascii="Calibri" w:eastAsia="等线" w:hAnsi="Calibri" w:cs="Calibri"/>
          <w:bCs/>
          <w:sz w:val="22"/>
          <w:szCs w:val="22"/>
        </w:rPr>
      </w:pPr>
      <w:r w:rsidRPr="00FA05CF">
        <w:rPr>
          <w:rFonts w:ascii="Calibri" w:eastAsia="等线" w:hAnsi="Calibri" w:cs="Calibri" w:hint="eastAsia"/>
          <w:bCs/>
          <w:sz w:val="22"/>
          <w:szCs w:val="22"/>
        </w:rPr>
        <w:t>R</w:t>
      </w:r>
      <w:r w:rsidRPr="00FA05CF">
        <w:rPr>
          <w:rFonts w:ascii="Calibri" w:eastAsia="等线" w:hAnsi="Calibri" w:cs="Calibri"/>
          <w:bCs/>
          <w:sz w:val="22"/>
          <w:szCs w:val="22"/>
        </w:rPr>
        <w:t>egarding</w:t>
      </w:r>
      <w:r>
        <w:rPr>
          <w:rFonts w:ascii="Calibri" w:eastAsia="等线" w:hAnsi="Calibri" w:cs="Calibri"/>
          <w:bCs/>
          <w:sz w:val="22"/>
          <w:szCs w:val="22"/>
        </w:rPr>
        <w:t xml:space="preserve"> the down</w:t>
      </w:r>
      <w:r w:rsidRPr="00FA05CF">
        <w:rPr>
          <w:rFonts w:ascii="Calibri" w:eastAsia="等线" w:hAnsi="Calibri" w:cs="Calibri"/>
          <w:bCs/>
          <w:sz w:val="22"/>
          <w:szCs w:val="22"/>
        </w:rPr>
        <w:t xml:space="preserve"> select</w:t>
      </w:r>
      <w:r>
        <w:rPr>
          <w:rFonts w:ascii="Calibri" w:eastAsia="等线" w:hAnsi="Calibri" w:cs="Calibri"/>
          <w:bCs/>
          <w:sz w:val="22"/>
          <w:szCs w:val="22"/>
        </w:rPr>
        <w:t>ion</w:t>
      </w:r>
      <w:r w:rsidRPr="00FA05CF">
        <w:rPr>
          <w:rFonts w:ascii="Calibri" w:eastAsia="等线" w:hAnsi="Calibri" w:cs="Calibri"/>
          <w:bCs/>
          <w:sz w:val="22"/>
          <w:szCs w:val="22"/>
        </w:rPr>
        <w:t xml:space="preserve"> between</w:t>
      </w:r>
      <w:r>
        <w:rPr>
          <w:rFonts w:ascii="Calibri" w:eastAsia="等线" w:hAnsi="Calibri" w:cs="Calibri"/>
          <w:bCs/>
          <w:sz w:val="22"/>
          <w:szCs w:val="22"/>
        </w:rPr>
        <w:t xml:space="preserve"> 2 options </w:t>
      </w:r>
      <w:r w:rsidR="00EB1325">
        <w:rPr>
          <w:rFonts w:ascii="Calibri" w:eastAsia="等线" w:hAnsi="Calibri" w:cs="Calibri"/>
          <w:bCs/>
          <w:sz w:val="22"/>
          <w:szCs w:val="22"/>
        </w:rPr>
        <w:t xml:space="preserve">in order </w:t>
      </w:r>
      <w:r>
        <w:rPr>
          <w:rFonts w:ascii="Calibri" w:eastAsia="等线" w:hAnsi="Calibri" w:cs="Calibri"/>
          <w:bCs/>
          <w:sz w:val="22"/>
          <w:szCs w:val="22"/>
        </w:rPr>
        <w:t xml:space="preserve">to support </w:t>
      </w:r>
      <w:r w:rsidRPr="00FA05CF">
        <w:rPr>
          <w:rFonts w:ascii="Calibri" w:eastAsia="等线" w:hAnsi="Calibri" w:cs="Calibri"/>
          <w:bCs/>
          <w:sz w:val="22"/>
          <w:szCs w:val="22"/>
        </w:rPr>
        <w:t>forward</w:t>
      </w:r>
      <w:r w:rsidR="00EB1325">
        <w:rPr>
          <w:rFonts w:ascii="Calibri" w:eastAsia="等线" w:hAnsi="Calibri" w:cs="Calibri"/>
          <w:bCs/>
          <w:sz w:val="22"/>
          <w:szCs w:val="22"/>
        </w:rPr>
        <w:t>ing</w:t>
      </w:r>
      <w:r w:rsidRPr="00FA05CF">
        <w:rPr>
          <w:rFonts w:ascii="Calibri" w:eastAsia="等线" w:hAnsi="Calibri" w:cs="Calibri"/>
          <w:bCs/>
          <w:sz w:val="22"/>
          <w:szCs w:val="22"/>
        </w:rPr>
        <w:t xml:space="preserve"> the correlated MDT reports to the MCE</w:t>
      </w:r>
      <w:r w:rsidR="00EB1325">
        <w:rPr>
          <w:rFonts w:ascii="Calibri" w:eastAsia="等线" w:hAnsi="Calibri" w:cs="Calibri"/>
          <w:bCs/>
          <w:sz w:val="22"/>
          <w:szCs w:val="22"/>
        </w:rPr>
        <w:t xml:space="preserve">, in the operator point of view, it is more flexible </w:t>
      </w:r>
      <w:r w:rsidR="00863B75">
        <w:rPr>
          <w:rFonts w:ascii="Calibri" w:eastAsia="等线" w:hAnsi="Calibri" w:cs="Calibri"/>
          <w:bCs/>
          <w:sz w:val="22"/>
          <w:szCs w:val="22"/>
        </w:rPr>
        <w:t xml:space="preserve">and feasible to </w:t>
      </w:r>
      <w:r w:rsidR="00863B75" w:rsidRPr="00863B75">
        <w:rPr>
          <w:rFonts w:ascii="Calibri" w:eastAsia="等线" w:hAnsi="Calibri" w:cs="Calibri"/>
          <w:bCs/>
          <w:sz w:val="22"/>
          <w:szCs w:val="22"/>
        </w:rPr>
        <w:t>support two network elements for TCE and MCE</w:t>
      </w:r>
      <w:r w:rsidR="00863B75">
        <w:rPr>
          <w:rFonts w:ascii="Calibri" w:eastAsia="等线" w:hAnsi="Calibri" w:cs="Calibri"/>
          <w:bCs/>
          <w:sz w:val="22"/>
          <w:szCs w:val="22"/>
        </w:rPr>
        <w:t xml:space="preserve"> rather than one same IP address. </w:t>
      </w:r>
      <w:r w:rsidR="00594177">
        <w:rPr>
          <w:rFonts w:ascii="Calibri" w:eastAsia="等线" w:hAnsi="Calibri" w:cs="Calibri"/>
          <w:bCs/>
          <w:sz w:val="22"/>
          <w:szCs w:val="22"/>
        </w:rPr>
        <w:t xml:space="preserve">Thus </w:t>
      </w:r>
      <w:r w:rsidRPr="00FA05CF">
        <w:rPr>
          <w:rFonts w:ascii="Calibri" w:eastAsia="等线" w:hAnsi="Calibri" w:cs="Calibri"/>
          <w:bCs/>
          <w:sz w:val="22"/>
          <w:szCs w:val="22"/>
        </w:rPr>
        <w:t xml:space="preserve">gNB-CU-CP can send the MCE address of the QoE configuration to gNB-DU and gNB-CU-UP </w:t>
      </w:r>
      <w:r w:rsidR="00594177">
        <w:rPr>
          <w:rFonts w:ascii="Calibri" w:eastAsia="等线" w:hAnsi="Calibri" w:cs="Calibri"/>
          <w:bCs/>
          <w:sz w:val="22"/>
          <w:szCs w:val="22"/>
        </w:rPr>
        <w:t>is preferable.</w:t>
      </w:r>
    </w:p>
    <w:p w14:paraId="4F76F9AA" w14:textId="693F392B" w:rsidR="00701B48" w:rsidRPr="006C6F26" w:rsidRDefault="00701B48" w:rsidP="00F05303">
      <w:pPr>
        <w:rPr>
          <w:rFonts w:ascii="Calibri" w:eastAsia="等线" w:hAnsi="Calibri" w:cs="Calibri"/>
          <w:b/>
          <w:bCs/>
          <w:i/>
          <w:sz w:val="24"/>
          <w:szCs w:val="22"/>
        </w:rPr>
      </w:pPr>
      <w:r w:rsidRPr="005B5172">
        <w:rPr>
          <w:rFonts w:ascii="Calibri" w:hAnsi="Calibri" w:cs="Calibri"/>
          <w:b/>
          <w:sz w:val="24"/>
          <w:szCs w:val="22"/>
        </w:rPr>
        <w:t xml:space="preserve">Proposal </w:t>
      </w:r>
      <w:r w:rsidRPr="005B5172">
        <w:rPr>
          <w:rFonts w:ascii="Calibri" w:hAnsi="Calibri" w:cs="Calibri"/>
          <w:b/>
          <w:bCs/>
          <w:sz w:val="24"/>
          <w:szCs w:val="22"/>
        </w:rPr>
        <w:t xml:space="preserve">2: </w:t>
      </w:r>
      <w:r w:rsidR="00594177" w:rsidRPr="005B5172">
        <w:rPr>
          <w:rFonts w:ascii="Calibri" w:hAnsi="Calibri" w:cs="Calibri"/>
          <w:b/>
          <w:bCs/>
          <w:sz w:val="24"/>
          <w:szCs w:val="22"/>
        </w:rPr>
        <w:t xml:space="preserve">Support </w:t>
      </w:r>
      <w:r w:rsidR="00863B75" w:rsidRPr="005B5172">
        <w:rPr>
          <w:rFonts w:ascii="Calibri" w:hAnsi="Calibri" w:cs="Calibri"/>
          <w:b/>
          <w:bCs/>
          <w:sz w:val="24"/>
          <w:szCs w:val="22"/>
        </w:rPr>
        <w:t>Option 1</w:t>
      </w:r>
      <w:r w:rsidR="00594177" w:rsidRPr="005B5172">
        <w:rPr>
          <w:rFonts w:ascii="Calibri" w:hAnsi="Calibri" w:cs="Calibri"/>
          <w:b/>
          <w:bCs/>
          <w:sz w:val="24"/>
          <w:szCs w:val="22"/>
        </w:rPr>
        <w:t>:</w:t>
      </w:r>
      <w:r w:rsidR="00594177" w:rsidRPr="005B5172">
        <w:rPr>
          <w:rFonts w:ascii="Calibri" w:eastAsia="等线" w:hAnsi="Calibri" w:cs="Calibri"/>
          <w:b/>
          <w:bCs/>
          <w:i/>
          <w:sz w:val="24"/>
          <w:szCs w:val="22"/>
        </w:rPr>
        <w:t xml:space="preserve"> gNB-CU-CP can send the MCE address of the QoE configuration to gNB-DU and gNB-CU-UP so that it can forward the correlated MDT reports to the MCE. </w:t>
      </w:r>
    </w:p>
    <w:p w14:paraId="403A6F0C" w14:textId="457B5444" w:rsidR="005B5172" w:rsidRPr="00701B48" w:rsidRDefault="005B5172" w:rsidP="005B5172">
      <w:pPr>
        <w:rPr>
          <w:rFonts w:ascii="Calibri" w:eastAsia="等线" w:hAnsi="Calibri" w:cs="Calibri"/>
          <w:sz w:val="22"/>
          <w:szCs w:val="22"/>
        </w:rPr>
      </w:pPr>
    </w:p>
    <w:p w14:paraId="1AAFD4DC" w14:textId="59678C8E" w:rsidR="00E67B15" w:rsidRDefault="00CF5C41" w:rsidP="00594177">
      <w:pPr>
        <w:rPr>
          <w:rFonts w:ascii="Calibri" w:eastAsia="等线" w:hAnsi="Calibri" w:cs="Calibri"/>
          <w:sz w:val="22"/>
          <w:szCs w:val="22"/>
        </w:rPr>
      </w:pPr>
      <w:bookmarkStart w:id="1" w:name="OLE_LINK3"/>
      <w:r>
        <w:rPr>
          <w:rFonts w:ascii="Calibri" w:eastAsia="等线" w:hAnsi="Calibri" w:cs="Calibri"/>
          <w:sz w:val="22"/>
          <w:szCs w:val="22"/>
        </w:rPr>
        <w:t>When it comes to</w:t>
      </w:r>
      <w:bookmarkStart w:id="2" w:name="OLE_LINK1"/>
      <w:bookmarkStart w:id="3" w:name="OLE_LINK2"/>
      <w:r w:rsidR="00594177" w:rsidRPr="00594177">
        <w:rPr>
          <w:rFonts w:ascii="Calibri" w:eastAsia="等线" w:hAnsi="Calibri" w:cs="Calibri"/>
          <w:sz w:val="22"/>
          <w:szCs w:val="22"/>
        </w:rPr>
        <w:t xml:space="preserve"> QoE measurement</w:t>
      </w:r>
      <w:bookmarkEnd w:id="1"/>
      <w:r w:rsidR="006C6F26">
        <w:rPr>
          <w:rFonts w:ascii="Calibri" w:eastAsia="等线" w:hAnsi="Calibri" w:cs="Calibri"/>
          <w:sz w:val="22"/>
          <w:szCs w:val="22"/>
        </w:rPr>
        <w:t xml:space="preserve"> </w:t>
      </w:r>
      <w:r>
        <w:rPr>
          <w:rFonts w:ascii="Calibri" w:eastAsia="等线" w:hAnsi="Calibri" w:cs="Calibri"/>
          <w:sz w:val="22"/>
          <w:szCs w:val="22"/>
        </w:rPr>
        <w:t xml:space="preserve">aligned with MDT measurement in the </w:t>
      </w:r>
      <w:r w:rsidR="00AD1CF9">
        <w:rPr>
          <w:rFonts w:ascii="Calibri" w:eastAsia="等线" w:hAnsi="Calibri" w:cs="Calibri"/>
          <w:sz w:val="22"/>
          <w:szCs w:val="22"/>
        </w:rPr>
        <w:t>mobility scenario</w:t>
      </w:r>
      <w:bookmarkEnd w:id="2"/>
      <w:bookmarkEnd w:id="3"/>
      <w:r w:rsidR="00AD1CF9">
        <w:rPr>
          <w:rFonts w:ascii="Calibri" w:eastAsia="等线" w:hAnsi="Calibri" w:cs="Calibri"/>
          <w:sz w:val="22"/>
          <w:szCs w:val="22"/>
        </w:rPr>
        <w:t xml:space="preserve">, s-based QoE correlated with s-based MDT can be supported without any further enhancement since the target NG-RAN would be aware of the alignment job based on the MDT related IE shown in the </w:t>
      </w:r>
      <w:r w:rsidR="00CB5EAC">
        <w:rPr>
          <w:rFonts w:ascii="Calibri" w:eastAsia="等线" w:hAnsi="Calibri" w:cs="Calibri"/>
          <w:sz w:val="22"/>
          <w:szCs w:val="22"/>
        </w:rPr>
        <w:t xml:space="preserve">forwarded </w:t>
      </w:r>
      <w:r w:rsidR="00AD1CF9">
        <w:rPr>
          <w:rFonts w:ascii="Calibri" w:eastAsia="等线" w:hAnsi="Calibri" w:cs="Calibri"/>
          <w:sz w:val="22"/>
          <w:szCs w:val="22"/>
        </w:rPr>
        <w:t>QoE configuration, then the target node can directly add the trace id which is same as the original one in the QoE report. In this way, MCE can figure out the QoE report correlated with the MDT report toward a same UE.</w:t>
      </w:r>
      <w:r w:rsidR="00CB5EAC">
        <w:rPr>
          <w:rFonts w:ascii="Calibri" w:eastAsia="等线" w:hAnsi="Calibri" w:cs="Calibri"/>
          <w:sz w:val="22"/>
          <w:szCs w:val="22"/>
        </w:rPr>
        <w:t xml:space="preserve"> </w:t>
      </w:r>
    </w:p>
    <w:p w14:paraId="7FE70641" w14:textId="1196E31E" w:rsidR="005B5172" w:rsidRDefault="00CB5EAC" w:rsidP="00CB5EAC">
      <w:pPr>
        <w:rPr>
          <w:rFonts w:ascii="Calibri" w:eastAsia="等线" w:hAnsi="Calibri" w:cs="Calibri"/>
          <w:b/>
          <w:sz w:val="24"/>
          <w:szCs w:val="22"/>
        </w:rPr>
      </w:pPr>
      <w:r>
        <w:rPr>
          <w:rFonts w:ascii="Calibri" w:eastAsia="等线" w:hAnsi="Calibri" w:cs="Calibri"/>
          <w:b/>
          <w:sz w:val="24"/>
          <w:szCs w:val="22"/>
        </w:rPr>
        <w:t>Proposal 3</w:t>
      </w:r>
      <w:r w:rsidR="00D24F70">
        <w:rPr>
          <w:rFonts w:ascii="Calibri" w:eastAsia="等线" w:hAnsi="Calibri" w:cs="Calibri"/>
          <w:b/>
          <w:sz w:val="24"/>
          <w:szCs w:val="22"/>
        </w:rPr>
        <w:t>: S</w:t>
      </w:r>
      <w:r w:rsidRPr="00CB5EAC">
        <w:rPr>
          <w:rFonts w:ascii="Calibri" w:eastAsia="等线" w:hAnsi="Calibri" w:cs="Calibri"/>
          <w:b/>
          <w:sz w:val="24"/>
          <w:szCs w:val="22"/>
        </w:rPr>
        <w:t>-based QoE correlated with s-based MDT can be supported in the mobility scenario.</w:t>
      </w:r>
    </w:p>
    <w:p w14:paraId="28939471" w14:textId="299696B3" w:rsidR="00CB5EAC" w:rsidRDefault="00CB5EAC" w:rsidP="00CB5EAC">
      <w:pPr>
        <w:rPr>
          <w:rFonts w:ascii="Calibri" w:eastAsia="等线" w:hAnsi="Calibri" w:cs="Calibri"/>
          <w:b/>
          <w:sz w:val="24"/>
          <w:szCs w:val="22"/>
        </w:rPr>
      </w:pPr>
    </w:p>
    <w:p w14:paraId="6B26A153" w14:textId="0C529A03" w:rsidR="009974E3" w:rsidRDefault="00CB5EAC" w:rsidP="009974E3">
      <w:pPr>
        <w:rPr>
          <w:rFonts w:ascii="Calibri" w:eastAsia="等线" w:hAnsi="Calibri" w:cs="Calibri"/>
          <w:sz w:val="22"/>
          <w:szCs w:val="22"/>
        </w:rPr>
      </w:pPr>
      <w:r w:rsidRPr="00CB5EAC">
        <w:rPr>
          <w:rFonts w:ascii="Calibri" w:eastAsia="等线" w:hAnsi="Calibri" w:cs="Calibri" w:hint="eastAsia"/>
          <w:sz w:val="22"/>
          <w:szCs w:val="22"/>
        </w:rPr>
        <w:t>W</w:t>
      </w:r>
      <w:r w:rsidRPr="00CB5EAC">
        <w:rPr>
          <w:rFonts w:ascii="Calibri" w:eastAsia="等线" w:hAnsi="Calibri" w:cs="Calibri"/>
          <w:sz w:val="22"/>
          <w:szCs w:val="22"/>
        </w:rPr>
        <w:t xml:space="preserve">ith regard to </w:t>
      </w:r>
      <w:r w:rsidRPr="00594177">
        <w:rPr>
          <w:rFonts w:ascii="Calibri" w:eastAsia="等线" w:hAnsi="Calibri" w:cs="Calibri"/>
          <w:sz w:val="22"/>
          <w:szCs w:val="22"/>
        </w:rPr>
        <w:t>QoE measurement</w:t>
      </w:r>
      <w:r>
        <w:rPr>
          <w:rFonts w:ascii="Calibri" w:eastAsia="等线" w:hAnsi="Calibri" w:cs="Calibri"/>
          <w:sz w:val="22"/>
          <w:szCs w:val="22"/>
        </w:rPr>
        <w:t xml:space="preserve"> aligned with m-based MDT measurement in the mobility scenario, MCE would have to align two or more m-based MDT reports with different trace id to one QoE report. </w:t>
      </w:r>
      <w:r w:rsidR="00AA7AD7">
        <w:rPr>
          <w:rFonts w:ascii="Calibri" w:eastAsia="等线" w:hAnsi="Calibri" w:cs="Calibri"/>
          <w:sz w:val="22"/>
          <w:szCs w:val="22"/>
        </w:rPr>
        <w:t xml:space="preserve">On the basis of current procedure, the target node cannot </w:t>
      </w:r>
      <w:r w:rsidR="00AA7AD7" w:rsidRPr="00AA7AD7">
        <w:rPr>
          <w:rFonts w:ascii="Calibri" w:eastAsia="等线" w:hAnsi="Calibri" w:cs="Calibri"/>
          <w:sz w:val="22"/>
          <w:szCs w:val="22"/>
        </w:rPr>
        <w:t>obtain</w:t>
      </w:r>
      <w:r w:rsidR="00AA7AD7">
        <w:rPr>
          <w:rFonts w:ascii="Calibri" w:eastAsia="等线" w:hAnsi="Calibri" w:cs="Calibri"/>
          <w:sz w:val="22"/>
          <w:szCs w:val="22"/>
        </w:rPr>
        <w:t xml:space="preserve"> the original TRSR which lead to enhancement for this mobility scenario</w:t>
      </w:r>
      <w:r w:rsidR="00091B26">
        <w:rPr>
          <w:rFonts w:ascii="Calibri" w:eastAsia="等线" w:hAnsi="Calibri" w:cs="Calibri"/>
          <w:sz w:val="22"/>
          <w:szCs w:val="22"/>
        </w:rPr>
        <w:t xml:space="preserve"> is needed,</w:t>
      </w:r>
      <w:r w:rsidR="00AA7AD7">
        <w:rPr>
          <w:rFonts w:ascii="Calibri" w:eastAsia="等线" w:hAnsi="Calibri" w:cs="Calibri"/>
          <w:sz w:val="22"/>
          <w:szCs w:val="22"/>
        </w:rPr>
        <w:t xml:space="preserve"> otherwise only the</w:t>
      </w:r>
      <w:r w:rsidR="00091B26">
        <w:rPr>
          <w:rFonts w:ascii="Calibri" w:eastAsia="等线" w:hAnsi="Calibri" w:cs="Calibri"/>
          <w:sz w:val="22"/>
          <w:szCs w:val="22"/>
        </w:rPr>
        <w:t xml:space="preserve"> one MDT report from the</w:t>
      </w:r>
      <w:r w:rsidR="00AA7AD7">
        <w:rPr>
          <w:rFonts w:ascii="Calibri" w:eastAsia="等线" w:hAnsi="Calibri" w:cs="Calibri"/>
          <w:sz w:val="22"/>
          <w:szCs w:val="22"/>
        </w:rPr>
        <w:t xml:space="preserve"> last serving </w:t>
      </w:r>
      <w:r w:rsidR="00091B26">
        <w:rPr>
          <w:rFonts w:ascii="Calibri" w:eastAsia="等线" w:hAnsi="Calibri" w:cs="Calibri"/>
          <w:sz w:val="22"/>
          <w:szCs w:val="22"/>
        </w:rPr>
        <w:t>node can be correlated with the QoE report. Moreover, trace reference also can be different from the one in QoE configuration since there is no guarantee on whether the UE moves out of the original area.</w:t>
      </w:r>
      <w:r w:rsidR="00091B26">
        <w:rPr>
          <w:rFonts w:ascii="Calibri" w:eastAsia="等线" w:hAnsi="Calibri" w:cs="Calibri" w:hint="eastAsia"/>
          <w:sz w:val="22"/>
          <w:szCs w:val="22"/>
        </w:rPr>
        <w:t xml:space="preserve"> </w:t>
      </w:r>
      <w:r w:rsidR="00091B26">
        <w:rPr>
          <w:rFonts w:ascii="Calibri" w:eastAsia="等线" w:hAnsi="Calibri" w:cs="Calibri"/>
          <w:sz w:val="22"/>
          <w:szCs w:val="22"/>
        </w:rPr>
        <w:t xml:space="preserve">To ensure the integrity of alignment of MDT and QoE measurement, </w:t>
      </w:r>
      <w:r w:rsidR="009974E3">
        <w:rPr>
          <w:rFonts w:ascii="Calibri" w:eastAsia="等线" w:hAnsi="Calibri" w:cs="Calibri"/>
          <w:sz w:val="22"/>
          <w:szCs w:val="22"/>
        </w:rPr>
        <w:t>there is two options for RAN3 to select:</w:t>
      </w:r>
    </w:p>
    <w:p w14:paraId="40192337" w14:textId="34ED6997" w:rsidR="009974E3" w:rsidRPr="009974E3" w:rsidRDefault="009974E3" w:rsidP="009974E3">
      <w:pPr>
        <w:rPr>
          <w:rFonts w:ascii="Calibri" w:eastAsia="等线" w:hAnsi="Calibri" w:cs="Calibri"/>
          <w:sz w:val="22"/>
          <w:szCs w:val="22"/>
        </w:rPr>
      </w:pPr>
      <w:r w:rsidRPr="009974E3">
        <w:rPr>
          <w:rFonts w:ascii="Calibri" w:eastAsia="等线" w:hAnsi="Calibri" w:cs="Calibri" w:hint="eastAsia"/>
          <w:sz w:val="22"/>
          <w:szCs w:val="22"/>
        </w:rPr>
        <w:t>•</w:t>
      </w:r>
      <w:r w:rsidRPr="009974E3">
        <w:rPr>
          <w:rFonts w:ascii="Calibri" w:eastAsia="等线" w:hAnsi="Calibri" w:cs="Calibri"/>
          <w:sz w:val="22"/>
          <w:szCs w:val="22"/>
        </w:rPr>
        <w:t xml:space="preserve">Option 1: Include QoE Reference in </w:t>
      </w:r>
      <w:r>
        <w:rPr>
          <w:rFonts w:ascii="Calibri" w:eastAsia="等线" w:hAnsi="Calibri" w:cs="Calibri"/>
          <w:sz w:val="22"/>
          <w:szCs w:val="22"/>
        </w:rPr>
        <w:t xml:space="preserve">each </w:t>
      </w:r>
      <w:r w:rsidRPr="009974E3">
        <w:rPr>
          <w:rFonts w:ascii="Calibri" w:eastAsia="等线" w:hAnsi="Calibri" w:cs="Calibri"/>
          <w:sz w:val="22"/>
          <w:szCs w:val="22"/>
        </w:rPr>
        <w:t>MDT report</w:t>
      </w:r>
    </w:p>
    <w:p w14:paraId="77C7ED77" w14:textId="4661833B" w:rsidR="009974E3" w:rsidRPr="00091B26" w:rsidRDefault="009974E3" w:rsidP="00CB5EAC">
      <w:pPr>
        <w:rPr>
          <w:rFonts w:ascii="Calibri" w:eastAsia="等线" w:hAnsi="Calibri" w:cs="Calibri"/>
          <w:sz w:val="22"/>
          <w:szCs w:val="22"/>
        </w:rPr>
      </w:pPr>
      <w:r w:rsidRPr="009974E3">
        <w:rPr>
          <w:rFonts w:ascii="Calibri" w:eastAsia="等线" w:hAnsi="Calibri" w:cs="Calibri" w:hint="eastAsia"/>
          <w:sz w:val="22"/>
          <w:szCs w:val="22"/>
        </w:rPr>
        <w:t>•</w:t>
      </w:r>
      <w:r w:rsidRPr="009974E3">
        <w:rPr>
          <w:rFonts w:ascii="Calibri" w:eastAsia="等线" w:hAnsi="Calibri" w:cs="Calibri"/>
          <w:sz w:val="22"/>
          <w:szCs w:val="22"/>
        </w:rPr>
        <w:t>Option 2: Include “Trace ID List” in QoE report</w:t>
      </w:r>
      <w:r>
        <w:rPr>
          <w:rFonts w:ascii="Calibri" w:eastAsia="等线" w:hAnsi="Calibri" w:cs="Calibri"/>
          <w:sz w:val="22"/>
          <w:szCs w:val="22"/>
        </w:rPr>
        <w:t xml:space="preserve"> and HANDOVER related message</w:t>
      </w:r>
    </w:p>
    <w:p w14:paraId="59B4C054" w14:textId="100E2B59" w:rsidR="009974E3" w:rsidRPr="009974E3" w:rsidRDefault="00CE7CCC" w:rsidP="00BF6F02">
      <w:pPr>
        <w:rPr>
          <w:rFonts w:ascii="Calibri" w:hAnsi="Calibri" w:cs="Calibri"/>
          <w:b/>
          <w:bCs/>
          <w:sz w:val="24"/>
          <w:szCs w:val="22"/>
        </w:rPr>
      </w:pPr>
      <w:r w:rsidRPr="005B5172">
        <w:rPr>
          <w:rFonts w:ascii="Calibri" w:hAnsi="Calibri" w:cs="Calibri"/>
          <w:b/>
          <w:sz w:val="24"/>
          <w:szCs w:val="22"/>
        </w:rPr>
        <w:t xml:space="preserve">Proposal </w:t>
      </w:r>
      <w:r w:rsidR="00CB5EAC">
        <w:rPr>
          <w:rFonts w:ascii="Calibri" w:hAnsi="Calibri" w:cs="Calibri"/>
          <w:b/>
          <w:bCs/>
          <w:sz w:val="24"/>
          <w:szCs w:val="22"/>
        </w:rPr>
        <w:t>4:</w:t>
      </w:r>
      <w:r w:rsidR="009974E3">
        <w:rPr>
          <w:rFonts w:ascii="Calibri" w:hAnsi="Calibri" w:cs="Calibri"/>
          <w:b/>
          <w:bCs/>
          <w:sz w:val="24"/>
          <w:szCs w:val="22"/>
        </w:rPr>
        <w:t xml:space="preserve"> To support mobility on m-based MDT, RAN3 can select </w:t>
      </w:r>
      <w:r w:rsidR="00BF6F02">
        <w:rPr>
          <w:rFonts w:ascii="Calibri" w:hAnsi="Calibri" w:cs="Calibri"/>
          <w:b/>
          <w:bCs/>
          <w:sz w:val="24"/>
          <w:szCs w:val="22"/>
        </w:rPr>
        <w:t>a solution with less impact on MDT mechanism, and further discussion on potential solutions can be continued in Rel-18.</w:t>
      </w:r>
    </w:p>
    <w:p w14:paraId="10B2724F" w14:textId="77777777" w:rsidR="009974E3" w:rsidRPr="009974E3" w:rsidRDefault="009974E3" w:rsidP="00F05303">
      <w:pPr>
        <w:rPr>
          <w:rFonts w:ascii="Calibri" w:hAnsi="Calibri" w:cs="Calibri"/>
          <w:b/>
          <w:bCs/>
          <w:sz w:val="24"/>
          <w:szCs w:val="22"/>
        </w:rPr>
      </w:pPr>
    </w:p>
    <w:p w14:paraId="6C6CF344" w14:textId="7E2BAC13" w:rsidR="00AF2EB2" w:rsidRPr="00DB2952" w:rsidRDefault="00AF2EB2" w:rsidP="00AF2EB2">
      <w:pPr>
        <w:rPr>
          <w:rFonts w:ascii="Calibri" w:eastAsia="等线" w:hAnsi="Calibri" w:cs="Calibri"/>
          <w:b/>
          <w:sz w:val="22"/>
          <w:szCs w:val="22"/>
        </w:rPr>
      </w:pPr>
    </w:p>
    <w:p w14:paraId="5D26FA8B" w14:textId="77777777" w:rsidR="00D90766" w:rsidRPr="005E7DF5" w:rsidRDefault="00D90766" w:rsidP="00EC34EB">
      <w:pPr>
        <w:pStyle w:val="1"/>
        <w:rPr>
          <w:rFonts w:asciiTheme="minorHAnsi" w:hAnsiTheme="minorHAnsi" w:cstheme="minorHAnsi"/>
          <w:sz w:val="40"/>
        </w:rPr>
      </w:pPr>
      <w:r w:rsidRPr="005E7DF5">
        <w:rPr>
          <w:rFonts w:asciiTheme="minorHAnsi" w:hAnsiTheme="minorHAnsi" w:cstheme="minorHAnsi"/>
          <w:sz w:val="40"/>
        </w:rPr>
        <w:t>Conclusion</w:t>
      </w:r>
    </w:p>
    <w:p w14:paraId="25C2FB10" w14:textId="5253A0D3" w:rsidR="00E75F21" w:rsidRPr="00D24F70" w:rsidRDefault="009974E3" w:rsidP="00701B48">
      <w:pPr>
        <w:rPr>
          <w:rFonts w:ascii="Calibri" w:eastAsia="等线" w:hAnsi="Calibri" w:cs="Calibri"/>
          <w:b/>
          <w:bCs/>
          <w:sz w:val="24"/>
          <w:szCs w:val="22"/>
        </w:rPr>
      </w:pPr>
      <w:bookmarkStart w:id="4" w:name="_In-sequence_SDU_delivery"/>
      <w:bookmarkEnd w:id="4"/>
      <w:r w:rsidRPr="005B5172">
        <w:rPr>
          <w:rFonts w:ascii="Calibri" w:hAnsi="Calibri" w:cs="Calibri"/>
          <w:b/>
          <w:sz w:val="24"/>
          <w:szCs w:val="22"/>
        </w:rPr>
        <w:t xml:space="preserve">Proposal </w:t>
      </w:r>
      <w:r w:rsidRPr="005B5172">
        <w:rPr>
          <w:rFonts w:ascii="Calibri" w:hAnsi="Calibri" w:cs="Calibri"/>
          <w:b/>
          <w:bCs/>
          <w:sz w:val="24"/>
          <w:szCs w:val="22"/>
        </w:rPr>
        <w:t>1: In Rel-17, support the scenario: alignment between s-based QoE and m-based MDT</w:t>
      </w:r>
      <w:r>
        <w:rPr>
          <w:rFonts w:ascii="Calibri" w:hAnsi="Calibri" w:cs="Calibri"/>
          <w:b/>
          <w:bCs/>
          <w:sz w:val="24"/>
          <w:szCs w:val="22"/>
        </w:rPr>
        <w:t>.</w:t>
      </w:r>
    </w:p>
    <w:p w14:paraId="7D5F1E03" w14:textId="1DF79D2C" w:rsidR="009974E3" w:rsidRPr="00D24F70" w:rsidRDefault="009974E3" w:rsidP="00701B48">
      <w:pPr>
        <w:rPr>
          <w:rFonts w:ascii="Calibri" w:eastAsia="等线" w:hAnsi="Calibri" w:cs="Calibri"/>
          <w:b/>
          <w:bCs/>
          <w:i/>
          <w:sz w:val="24"/>
          <w:szCs w:val="22"/>
        </w:rPr>
      </w:pPr>
      <w:r w:rsidRPr="005B5172">
        <w:rPr>
          <w:rFonts w:ascii="Calibri" w:hAnsi="Calibri" w:cs="Calibri"/>
          <w:b/>
          <w:sz w:val="24"/>
          <w:szCs w:val="22"/>
        </w:rPr>
        <w:t xml:space="preserve">Proposal </w:t>
      </w:r>
      <w:r w:rsidRPr="005B5172">
        <w:rPr>
          <w:rFonts w:ascii="Calibri" w:hAnsi="Calibri" w:cs="Calibri"/>
          <w:b/>
          <w:bCs/>
          <w:sz w:val="24"/>
          <w:szCs w:val="22"/>
        </w:rPr>
        <w:t>2: Support Option 1:</w:t>
      </w:r>
      <w:r w:rsidRPr="005B5172">
        <w:rPr>
          <w:rFonts w:ascii="Calibri" w:eastAsia="等线" w:hAnsi="Calibri" w:cs="Calibri"/>
          <w:b/>
          <w:bCs/>
          <w:i/>
          <w:sz w:val="24"/>
          <w:szCs w:val="22"/>
        </w:rPr>
        <w:t xml:space="preserve"> gNB-CU-CP can send the MCE address of the QoE configuration to gNB-DU and gNB-CU-UP so that it can forward the correlated MDT reports to the MCE. </w:t>
      </w:r>
    </w:p>
    <w:p w14:paraId="3CED9B71" w14:textId="75AF6F4A" w:rsidR="009974E3" w:rsidRPr="00D24F70" w:rsidRDefault="009974E3" w:rsidP="009974E3">
      <w:pPr>
        <w:rPr>
          <w:rFonts w:ascii="Calibri" w:eastAsia="等线" w:hAnsi="Calibri" w:cs="Calibri"/>
          <w:b/>
          <w:sz w:val="24"/>
          <w:szCs w:val="22"/>
        </w:rPr>
      </w:pPr>
      <w:r>
        <w:rPr>
          <w:rFonts w:ascii="Calibri" w:eastAsia="等线" w:hAnsi="Calibri" w:cs="Calibri"/>
          <w:b/>
          <w:sz w:val="24"/>
          <w:szCs w:val="22"/>
        </w:rPr>
        <w:t>Proposal 3</w:t>
      </w:r>
      <w:r w:rsidR="00D24F70">
        <w:rPr>
          <w:rFonts w:ascii="Calibri" w:eastAsia="等线" w:hAnsi="Calibri" w:cs="Calibri"/>
          <w:b/>
          <w:sz w:val="24"/>
          <w:szCs w:val="22"/>
        </w:rPr>
        <w:t>: S</w:t>
      </w:r>
      <w:r w:rsidRPr="00CB5EAC">
        <w:rPr>
          <w:rFonts w:ascii="Calibri" w:eastAsia="等线" w:hAnsi="Calibri" w:cs="Calibri"/>
          <w:b/>
          <w:sz w:val="24"/>
          <w:szCs w:val="22"/>
        </w:rPr>
        <w:t>-based QoE correlated with s-based MDT can be supported in the mobility scenario.</w:t>
      </w:r>
    </w:p>
    <w:p w14:paraId="0C625F5E" w14:textId="427803EC" w:rsidR="009974E3" w:rsidRPr="00D24F70" w:rsidRDefault="00BF6F02" w:rsidP="00701B48">
      <w:pPr>
        <w:rPr>
          <w:rFonts w:ascii="Calibri" w:eastAsia="等线" w:hAnsi="Calibri" w:cs="Calibri"/>
          <w:b/>
          <w:bCs/>
          <w:sz w:val="24"/>
          <w:szCs w:val="22"/>
        </w:rPr>
      </w:pPr>
      <w:r w:rsidRPr="005B5172">
        <w:rPr>
          <w:rFonts w:ascii="Calibri" w:hAnsi="Calibri" w:cs="Calibri"/>
          <w:b/>
          <w:sz w:val="24"/>
          <w:szCs w:val="22"/>
        </w:rPr>
        <w:t xml:space="preserve">Proposal </w:t>
      </w:r>
      <w:r>
        <w:rPr>
          <w:rFonts w:ascii="Calibri" w:hAnsi="Calibri" w:cs="Calibri"/>
          <w:b/>
          <w:bCs/>
          <w:sz w:val="24"/>
          <w:szCs w:val="22"/>
        </w:rPr>
        <w:t>4: To support mobility on m-based MDT, RAN3 can select a solution with less impact on MDT mechanism, and further discussion on potential solutions can be continued in Rel-18.</w:t>
      </w:r>
    </w:p>
    <w:sectPr w:rsidR="009974E3" w:rsidRPr="00D24F70" w:rsidSect="00A3231D">
      <w:headerReference w:type="even" r:id="rId13"/>
      <w:footerReference w:type="default" r:id="rId14"/>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4C133" w14:textId="77777777" w:rsidR="000C3260" w:rsidRDefault="000C3260">
      <w:pPr>
        <w:spacing w:after="0"/>
      </w:pPr>
      <w:r>
        <w:separator/>
      </w:r>
    </w:p>
  </w:endnote>
  <w:endnote w:type="continuationSeparator" w:id="0">
    <w:p w14:paraId="74FD7705" w14:textId="77777777" w:rsidR="000C3260" w:rsidRDefault="000C3260">
      <w:pPr>
        <w:spacing w:after="0"/>
      </w:pPr>
      <w:r>
        <w:continuationSeparator/>
      </w:r>
    </w:p>
  </w:endnote>
  <w:endnote w:type="continuationNotice" w:id="1">
    <w:p w14:paraId="3CE5B1F3" w14:textId="77777777" w:rsidR="000C3260" w:rsidRDefault="000C32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643118918"/>
      <w:docPartObj>
        <w:docPartGallery w:val="Page Numbers (Bottom of Page)"/>
        <w:docPartUnique/>
      </w:docPartObj>
    </w:sdtPr>
    <w:sdtEndPr>
      <w:rPr>
        <w:noProof/>
      </w:rPr>
    </w:sdtEndPr>
    <w:sdtContent>
      <w:p w14:paraId="1C73E223" w14:textId="20A5C89C" w:rsidR="00AA7AD7" w:rsidRDefault="00AA7AD7">
        <w:pPr>
          <w:pStyle w:val="a3"/>
        </w:pPr>
        <w:r>
          <w:rPr>
            <w:noProof w:val="0"/>
          </w:rPr>
          <w:fldChar w:fldCharType="begin"/>
        </w:r>
        <w:r>
          <w:instrText xml:space="preserve"> PAGE   \* MERGEFORMAT </w:instrText>
        </w:r>
        <w:r>
          <w:rPr>
            <w:noProof w:val="0"/>
          </w:rPr>
          <w:fldChar w:fldCharType="separate"/>
        </w:r>
        <w:r w:rsidR="006173EC">
          <w:t>1</w:t>
        </w:r>
        <w:r>
          <w:fldChar w:fldCharType="end"/>
        </w:r>
      </w:p>
    </w:sdtContent>
  </w:sdt>
  <w:p w14:paraId="259EDD67" w14:textId="3A605399" w:rsidR="00AA7AD7" w:rsidRDefault="00AA7AD7" w:rsidP="00BF6652">
    <w:pPr>
      <w:pStyle w:val="a3"/>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DFD27" w14:textId="77777777" w:rsidR="000C3260" w:rsidRDefault="000C3260">
      <w:pPr>
        <w:spacing w:after="0"/>
      </w:pPr>
      <w:r>
        <w:separator/>
      </w:r>
    </w:p>
  </w:footnote>
  <w:footnote w:type="continuationSeparator" w:id="0">
    <w:p w14:paraId="6C18CED2" w14:textId="77777777" w:rsidR="000C3260" w:rsidRDefault="000C3260">
      <w:pPr>
        <w:spacing w:after="0"/>
      </w:pPr>
      <w:r>
        <w:continuationSeparator/>
      </w:r>
    </w:p>
  </w:footnote>
  <w:footnote w:type="continuationNotice" w:id="1">
    <w:p w14:paraId="70E16BF2" w14:textId="77777777" w:rsidR="000C3260" w:rsidRDefault="000C326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55E5F" w14:textId="77777777" w:rsidR="00AA7AD7" w:rsidRDefault="00AA7AD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075072"/>
    <w:multiLevelType w:val="hybridMultilevel"/>
    <w:tmpl w:val="DBE0DFAE"/>
    <w:lvl w:ilvl="0" w:tplc="23EA09C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46C39A4"/>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1A0F621E"/>
    <w:multiLevelType w:val="hybridMultilevel"/>
    <w:tmpl w:val="EE362816"/>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1F220C1C"/>
    <w:multiLevelType w:val="hybridMultilevel"/>
    <w:tmpl w:val="578056A8"/>
    <w:lvl w:ilvl="0" w:tplc="42680EE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FF3EF0"/>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3772490A"/>
    <w:multiLevelType w:val="hybridMultilevel"/>
    <w:tmpl w:val="847E52A0"/>
    <w:lvl w:ilvl="0" w:tplc="42680EE8">
      <w:start w:val="2"/>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0C783A"/>
    <w:multiLevelType w:val="hybridMultilevel"/>
    <w:tmpl w:val="37E0FF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C80741"/>
    <w:multiLevelType w:val="hybridMultilevel"/>
    <w:tmpl w:val="146485D2"/>
    <w:lvl w:ilvl="0" w:tplc="2E7488BA">
      <w:start w:val="1"/>
      <w:numFmt w:val="bullet"/>
      <w:lvlText w:val="-"/>
      <w:lvlJc w:val="left"/>
      <w:pPr>
        <w:ind w:left="1080" w:hanging="360"/>
      </w:pPr>
      <w:rPr>
        <w:rFonts w:ascii="Calibri" w:eastAsia="Times New Roman" w:hAnsi="Calibri" w:cstheme="minorHAns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1"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A9143FB"/>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705D7143"/>
    <w:multiLevelType w:val="hybridMultilevel"/>
    <w:tmpl w:val="AC40C31E"/>
    <w:lvl w:ilvl="0" w:tplc="041D001B">
      <w:start w:val="1"/>
      <w:numFmt w:val="lowerRoman"/>
      <w:lvlText w:val="%1."/>
      <w:lvlJc w:val="righ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84137D9"/>
    <w:multiLevelType w:val="hybridMultilevel"/>
    <w:tmpl w:val="ED080AB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BCFE8BB"/>
    <w:multiLevelType w:val="singleLevel"/>
    <w:tmpl w:val="7BCFE8BB"/>
    <w:lvl w:ilvl="0">
      <w:start w:val="1"/>
      <w:numFmt w:val="decimal"/>
      <w:suff w:val="space"/>
      <w:lvlText w:val="[%1]"/>
      <w:lvlJc w:val="left"/>
    </w:lvl>
  </w:abstractNum>
  <w:num w:numId="1">
    <w:abstractNumId w:val="0"/>
  </w:num>
  <w:num w:numId="2">
    <w:abstractNumId w:val="8"/>
  </w:num>
  <w:num w:numId="3">
    <w:abstractNumId w:val="7"/>
  </w:num>
  <w:num w:numId="4">
    <w:abstractNumId w:val="11"/>
  </w:num>
  <w:num w:numId="5">
    <w:abstractNumId w:val="12"/>
  </w:num>
  <w:num w:numId="6">
    <w:abstractNumId w:val="15"/>
  </w:num>
  <w:num w:numId="7">
    <w:abstractNumId w:val="4"/>
  </w:num>
  <w:num w:numId="8">
    <w:abstractNumId w:val="16"/>
  </w:num>
  <w:num w:numId="9">
    <w:abstractNumId w:val="14"/>
  </w:num>
  <w:num w:numId="10">
    <w:abstractNumId w:val="1"/>
  </w:num>
  <w:num w:numId="11">
    <w:abstractNumId w:val="5"/>
  </w:num>
  <w:num w:numId="12">
    <w:abstractNumId w:val="17"/>
  </w:num>
  <w:num w:numId="13">
    <w:abstractNumId w:val="2"/>
  </w:num>
  <w:num w:numId="14">
    <w:abstractNumId w:val="3"/>
  </w:num>
  <w:num w:numId="15">
    <w:abstractNumId w:val="6"/>
  </w:num>
  <w:num w:numId="16">
    <w:abstractNumId w:val="13"/>
  </w:num>
  <w:num w:numId="17">
    <w:abstractNumId w:val="0"/>
  </w:num>
  <w:num w:numId="18">
    <w:abstractNumId w:val="0"/>
  </w:num>
  <w:num w:numId="19">
    <w:abstractNumId w:val="10"/>
  </w:num>
  <w:num w:numId="20">
    <w:abstractNumId w:val="0"/>
  </w:num>
  <w:num w:numId="21">
    <w:abstractNumId w:val="0"/>
  </w:num>
  <w:num w:numId="22">
    <w:abstractNumId w:val="0"/>
  </w:num>
  <w:num w:numId="2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B26"/>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3260"/>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169"/>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3FC3"/>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82A"/>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D71"/>
    <w:rsid w:val="002E709F"/>
    <w:rsid w:val="002E71C2"/>
    <w:rsid w:val="002E73EB"/>
    <w:rsid w:val="002E7884"/>
    <w:rsid w:val="002E7A49"/>
    <w:rsid w:val="002E7E93"/>
    <w:rsid w:val="002F034D"/>
    <w:rsid w:val="002F09C7"/>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177"/>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21A2"/>
    <w:rsid w:val="005B25BA"/>
    <w:rsid w:val="005B27F0"/>
    <w:rsid w:val="005B2986"/>
    <w:rsid w:val="005B2A3A"/>
    <w:rsid w:val="005B3094"/>
    <w:rsid w:val="005B3A52"/>
    <w:rsid w:val="005B4667"/>
    <w:rsid w:val="005B5172"/>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4FE7"/>
    <w:rsid w:val="005D71C8"/>
    <w:rsid w:val="005D74B1"/>
    <w:rsid w:val="005D7E37"/>
    <w:rsid w:val="005E08B4"/>
    <w:rsid w:val="005E1997"/>
    <w:rsid w:val="005E1DB0"/>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3EC"/>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90"/>
    <w:rsid w:val="006812B2"/>
    <w:rsid w:val="006820A5"/>
    <w:rsid w:val="006823BE"/>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6F26"/>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2F3E"/>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B75"/>
    <w:rsid w:val="00863CC5"/>
    <w:rsid w:val="0086401A"/>
    <w:rsid w:val="00864A83"/>
    <w:rsid w:val="00864C01"/>
    <w:rsid w:val="00864DF9"/>
    <w:rsid w:val="00865E99"/>
    <w:rsid w:val="008662C6"/>
    <w:rsid w:val="0086666D"/>
    <w:rsid w:val="00866AE2"/>
    <w:rsid w:val="00866F98"/>
    <w:rsid w:val="00867160"/>
    <w:rsid w:val="00867582"/>
    <w:rsid w:val="00867A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5E0"/>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045"/>
    <w:rsid w:val="008F1E18"/>
    <w:rsid w:val="008F1F0C"/>
    <w:rsid w:val="008F256B"/>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3641"/>
    <w:rsid w:val="0094366C"/>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4E3"/>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A7AD7"/>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1CF9"/>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F1"/>
    <w:rsid w:val="00B1634B"/>
    <w:rsid w:val="00B16E3C"/>
    <w:rsid w:val="00B175F9"/>
    <w:rsid w:val="00B179C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6F02"/>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4E8"/>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5EAC"/>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5C41"/>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4F70"/>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B15"/>
    <w:rsid w:val="00E67D31"/>
    <w:rsid w:val="00E67F24"/>
    <w:rsid w:val="00E70935"/>
    <w:rsid w:val="00E70F9C"/>
    <w:rsid w:val="00E71F32"/>
    <w:rsid w:val="00E73867"/>
    <w:rsid w:val="00E73A34"/>
    <w:rsid w:val="00E73B7D"/>
    <w:rsid w:val="00E73E3A"/>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0BD8D"/>
  <w15:chartTrackingRefBased/>
  <w15:docId w15:val="{EDC85F3E-2A3A-4EFF-8316-C93000849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NMP Heading 1,H1,h11,h12,h13,h14,h15,h16,app heading 1,l1,Memo Heading 1,Heading 1_a,heading 1,h17,h111,h121,h131,h141,h151,h161,h18,h112,h122,h132,h142,h152,h162,h19,h113,h123,h133,h143,h153,h163,Alt+1,Alt+11,Alt+12,Alt+13,h1"/>
    <w:next w:val="a"/>
    <w:link w:val="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Header 2,Header2,22,heading2,2nd level,H21,H22,H23,H24,H25,R2,E2,†berschrift 2,õberschrift 2"/>
    <w:basedOn w:val="1"/>
    <w:next w:val="a"/>
    <w:link w:val="2Char"/>
    <w:qFormat/>
    <w:rsid w:val="00BF52B4"/>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BF52B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4,Memo,5,heading 4 + Indent: Left 0.5 in,标题3a"/>
    <w:basedOn w:val="3"/>
    <w:next w:val="a"/>
    <w:link w:val="4Char"/>
    <w:qFormat/>
    <w:rsid w:val="00BF52B4"/>
    <w:pPr>
      <w:numPr>
        <w:ilvl w:val="3"/>
      </w:numPr>
      <w:outlineLvl w:val="3"/>
    </w:pPr>
    <w:rPr>
      <w:sz w:val="24"/>
      <w:szCs w:val="24"/>
    </w:rPr>
  </w:style>
  <w:style w:type="paragraph" w:styleId="5">
    <w:name w:val="heading 5"/>
    <w:aliases w:val="h5,Heading5,H5"/>
    <w:basedOn w:val="4"/>
    <w:next w:val="a"/>
    <w:link w:val="5Char"/>
    <w:qFormat/>
    <w:rsid w:val="00BF52B4"/>
    <w:pPr>
      <w:numPr>
        <w:ilvl w:val="4"/>
      </w:numPr>
      <w:outlineLvl w:val="4"/>
    </w:pPr>
    <w:rPr>
      <w:sz w:val="22"/>
      <w:szCs w:val="22"/>
    </w:rPr>
  </w:style>
  <w:style w:type="paragraph" w:styleId="6">
    <w:name w:val="heading 6"/>
    <w:basedOn w:val="a"/>
    <w:next w:val="a"/>
    <w:link w:val="6Char"/>
    <w:qFormat/>
    <w:rsid w:val="00BF52B4"/>
    <w:pPr>
      <w:keepNext/>
      <w:keepLines/>
      <w:numPr>
        <w:ilvl w:val="5"/>
        <w:numId w:val="1"/>
      </w:numPr>
      <w:spacing w:before="120"/>
      <w:outlineLvl w:val="5"/>
    </w:pPr>
    <w:rPr>
      <w:rFonts w:cs="Arial"/>
    </w:rPr>
  </w:style>
  <w:style w:type="paragraph" w:styleId="7">
    <w:name w:val="heading 7"/>
    <w:basedOn w:val="a"/>
    <w:next w:val="a"/>
    <w:link w:val="7Char"/>
    <w:qFormat/>
    <w:rsid w:val="00BF52B4"/>
    <w:pPr>
      <w:keepNext/>
      <w:keepLines/>
      <w:numPr>
        <w:ilvl w:val="6"/>
        <w:numId w:val="1"/>
      </w:numPr>
      <w:spacing w:before="120"/>
      <w:outlineLvl w:val="6"/>
    </w:pPr>
    <w:rPr>
      <w:rFonts w:cs="Arial"/>
    </w:rPr>
  </w:style>
  <w:style w:type="paragraph" w:styleId="8">
    <w:name w:val="heading 8"/>
    <w:basedOn w:val="7"/>
    <w:next w:val="a"/>
    <w:link w:val="8Char"/>
    <w:qFormat/>
    <w:rsid w:val="00BF52B4"/>
    <w:pPr>
      <w:numPr>
        <w:ilvl w:val="7"/>
      </w:numPr>
      <w:outlineLvl w:val="7"/>
    </w:pPr>
  </w:style>
  <w:style w:type="paragraph" w:styleId="9">
    <w:name w:val="heading 9"/>
    <w:basedOn w:val="8"/>
    <w:next w:val="a"/>
    <w:link w:val="9Char"/>
    <w:qFormat/>
    <w:rsid w:val="00BF52B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BF52B4"/>
    <w:rPr>
      <w:rFonts w:ascii="Arial" w:eastAsia="Times New Roman" w:hAnsi="Arial" w:cs="Arial"/>
      <w:sz w:val="36"/>
      <w:szCs w:val="36"/>
      <w:lang w:val="en-GB" w:eastAsia="zh-CN"/>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rsid w:val="00BF52B4"/>
    <w:rPr>
      <w:rFonts w:ascii="Arial" w:eastAsia="Times New Roman" w:hAnsi="Arial" w:cs="Arial"/>
      <w:sz w:val="32"/>
      <w:szCs w:val="32"/>
      <w:lang w:val="en-GB" w:eastAsia="zh-CN"/>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BF52B4"/>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F52B4"/>
    <w:rPr>
      <w:rFonts w:ascii="Arial" w:eastAsia="Times New Roman" w:hAnsi="Arial" w:cs="Arial"/>
      <w:sz w:val="24"/>
      <w:szCs w:val="24"/>
      <w:lang w:val="en-GB" w:eastAsia="zh-CN"/>
    </w:rPr>
  </w:style>
  <w:style w:type="character" w:customStyle="1" w:styleId="5Char">
    <w:name w:val="标题 5 Char"/>
    <w:aliases w:val="h5 Char,Heading5 Char,H5 Char"/>
    <w:basedOn w:val="a0"/>
    <w:link w:val="5"/>
    <w:rsid w:val="00BF52B4"/>
    <w:rPr>
      <w:rFonts w:ascii="Arial" w:eastAsia="Times New Roman" w:hAnsi="Arial" w:cs="Arial"/>
      <w:lang w:val="en-GB" w:eastAsia="zh-CN"/>
    </w:rPr>
  </w:style>
  <w:style w:type="character" w:customStyle="1" w:styleId="6Char">
    <w:name w:val="标题 6 Char"/>
    <w:basedOn w:val="a0"/>
    <w:link w:val="6"/>
    <w:rsid w:val="00BF52B4"/>
    <w:rPr>
      <w:rFonts w:ascii="Arial" w:eastAsia="Times New Roman" w:hAnsi="Arial" w:cs="Arial"/>
      <w:sz w:val="20"/>
      <w:szCs w:val="20"/>
      <w:lang w:val="en-GB" w:eastAsia="zh-CN"/>
    </w:rPr>
  </w:style>
  <w:style w:type="character" w:customStyle="1" w:styleId="7Char">
    <w:name w:val="标题 7 Char"/>
    <w:basedOn w:val="a0"/>
    <w:link w:val="7"/>
    <w:rsid w:val="00BF52B4"/>
    <w:rPr>
      <w:rFonts w:ascii="Arial" w:eastAsia="Times New Roman" w:hAnsi="Arial" w:cs="Arial"/>
      <w:sz w:val="20"/>
      <w:szCs w:val="20"/>
      <w:lang w:val="en-GB" w:eastAsia="zh-CN"/>
    </w:rPr>
  </w:style>
  <w:style w:type="character" w:customStyle="1" w:styleId="8Char">
    <w:name w:val="标题 8 Char"/>
    <w:basedOn w:val="a0"/>
    <w:link w:val="8"/>
    <w:rsid w:val="00BF52B4"/>
    <w:rPr>
      <w:rFonts w:ascii="Arial" w:eastAsia="Times New Roman" w:hAnsi="Arial" w:cs="Arial"/>
      <w:sz w:val="20"/>
      <w:szCs w:val="20"/>
      <w:lang w:val="en-GB" w:eastAsia="zh-CN"/>
    </w:rPr>
  </w:style>
  <w:style w:type="character" w:customStyle="1" w:styleId="9Char">
    <w:name w:val="标题 9 Char"/>
    <w:basedOn w:val="a0"/>
    <w:link w:val="9"/>
    <w:rsid w:val="00BF52B4"/>
    <w:rPr>
      <w:rFonts w:ascii="Arial" w:eastAsia="Times New Roman" w:hAnsi="Arial" w:cs="Arial"/>
      <w:sz w:val="20"/>
      <w:szCs w:val="20"/>
      <w:lang w:val="en-GB" w:eastAsia="zh-CN"/>
    </w:rPr>
  </w:style>
  <w:style w:type="paragraph" w:customStyle="1" w:styleId="3GPPHeader">
    <w:name w:val="3GPP_Header"/>
    <w:basedOn w:val="a"/>
    <w:rsid w:val="00BF52B4"/>
    <w:pPr>
      <w:tabs>
        <w:tab w:val="left" w:pos="1701"/>
        <w:tab w:val="right" w:pos="9639"/>
      </w:tabs>
      <w:spacing w:after="240"/>
    </w:pPr>
    <w:rPr>
      <w:b/>
      <w:sz w:val="24"/>
    </w:rPr>
  </w:style>
  <w:style w:type="paragraph" w:styleId="a3">
    <w:name w:val="footer"/>
    <w:basedOn w:val="a4"/>
    <w:link w:val="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Char">
    <w:name w:val="页脚 Char"/>
    <w:basedOn w:val="a0"/>
    <w:link w:val="a3"/>
    <w:uiPriority w:val="99"/>
    <w:rsid w:val="00BF52B4"/>
    <w:rPr>
      <w:rFonts w:ascii="Arial" w:eastAsia="Times New Roman" w:hAnsi="Arial" w:cs="Arial"/>
      <w:b/>
      <w:bCs/>
      <w:i/>
      <w:iCs/>
      <w:noProof/>
      <w:sz w:val="18"/>
      <w:szCs w:val="18"/>
      <w:lang w:val="en-US" w:eastAsia="zh-CN"/>
    </w:rPr>
  </w:style>
  <w:style w:type="character" w:styleId="a5">
    <w:name w:val="page number"/>
    <w:semiHidden/>
    <w:rsid w:val="00BF52B4"/>
  </w:style>
  <w:style w:type="character" w:styleId="a6">
    <w:name w:val="annotation reference"/>
    <w:qFormat/>
    <w:rsid w:val="00BF52B4"/>
    <w:rPr>
      <w:sz w:val="16"/>
      <w:szCs w:val="16"/>
    </w:rPr>
  </w:style>
  <w:style w:type="paragraph" w:styleId="a7">
    <w:name w:val="annotation text"/>
    <w:basedOn w:val="a"/>
    <w:link w:val="Char0"/>
    <w:qFormat/>
    <w:rsid w:val="00BF52B4"/>
  </w:style>
  <w:style w:type="character" w:customStyle="1" w:styleId="Char0">
    <w:name w:val="批注文字 Char"/>
    <w:basedOn w:val="a0"/>
    <w:link w:val="a7"/>
    <w:qFormat/>
    <w:rsid w:val="00BF52B4"/>
    <w:rPr>
      <w:rFonts w:ascii="Arial" w:eastAsia="Times New Roman" w:hAnsi="Arial" w:cs="Times New Roman"/>
      <w:sz w:val="20"/>
      <w:szCs w:val="20"/>
      <w:lang w:val="en-GB" w:eastAsia="zh-CN"/>
    </w:rPr>
  </w:style>
  <w:style w:type="paragraph" w:customStyle="1" w:styleId="B1">
    <w:name w:val="B1"/>
    <w:basedOn w:val="a8"/>
    <w:link w:val="B1Char1"/>
    <w:qFormat/>
    <w:rsid w:val="00BF52B4"/>
    <w:pPr>
      <w:spacing w:after="180"/>
      <w:ind w:left="568" w:hanging="284"/>
      <w:contextualSpacing w:val="0"/>
      <w:jc w:val="left"/>
    </w:pPr>
    <w:rPr>
      <w:lang w:eastAsia="en-US"/>
    </w:rPr>
  </w:style>
  <w:style w:type="paragraph" w:styleId="a9">
    <w:name w:val="List Paragraph"/>
    <w:aliases w:val="- Bullets,목록 단락,リスト段落,?? ??,?????,????,Lista1,列出段落1,中等深浅网格 1 - 着色 21"/>
    <w:basedOn w:val="a"/>
    <w:link w:val="Char1"/>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aa"/>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aa"/>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a4">
    <w:name w:val="header"/>
    <w:basedOn w:val="a"/>
    <w:link w:val="Char2"/>
    <w:uiPriority w:val="99"/>
    <w:unhideWhenUsed/>
    <w:rsid w:val="00BF52B4"/>
    <w:pPr>
      <w:tabs>
        <w:tab w:val="center" w:pos="4513"/>
        <w:tab w:val="right" w:pos="9026"/>
      </w:tabs>
      <w:spacing w:after="0"/>
    </w:pPr>
  </w:style>
  <w:style w:type="character" w:customStyle="1" w:styleId="Char2">
    <w:name w:val="页眉 Char"/>
    <w:basedOn w:val="a0"/>
    <w:link w:val="a4"/>
    <w:uiPriority w:val="99"/>
    <w:rsid w:val="00BF52B4"/>
    <w:rPr>
      <w:rFonts w:ascii="Arial" w:eastAsia="Times New Roman" w:hAnsi="Arial" w:cs="Times New Roman"/>
      <w:sz w:val="20"/>
      <w:szCs w:val="20"/>
      <w:lang w:val="en-GB" w:eastAsia="zh-CN"/>
    </w:rPr>
  </w:style>
  <w:style w:type="paragraph" w:styleId="a8">
    <w:name w:val="List"/>
    <w:basedOn w:val="a"/>
    <w:uiPriority w:val="99"/>
    <w:semiHidden/>
    <w:unhideWhenUsed/>
    <w:rsid w:val="00BF52B4"/>
    <w:pPr>
      <w:ind w:left="283" w:hanging="283"/>
      <w:contextualSpacing/>
    </w:pPr>
  </w:style>
  <w:style w:type="paragraph" w:styleId="aa">
    <w:name w:val="Body Text"/>
    <w:basedOn w:val="a"/>
    <w:link w:val="Char3"/>
    <w:uiPriority w:val="99"/>
    <w:semiHidden/>
    <w:unhideWhenUsed/>
    <w:rsid w:val="00BF52B4"/>
  </w:style>
  <w:style w:type="character" w:customStyle="1" w:styleId="Char3">
    <w:name w:val="正文文本 Char"/>
    <w:basedOn w:val="a0"/>
    <w:link w:val="aa"/>
    <w:uiPriority w:val="99"/>
    <w:semiHidden/>
    <w:rsid w:val="00BF52B4"/>
    <w:rPr>
      <w:rFonts w:ascii="Arial" w:eastAsia="Times New Roman" w:hAnsi="Arial" w:cs="Times New Roman"/>
      <w:sz w:val="20"/>
      <w:szCs w:val="20"/>
      <w:lang w:val="en-GB" w:eastAsia="zh-CN"/>
    </w:rPr>
  </w:style>
  <w:style w:type="paragraph" w:styleId="ab">
    <w:name w:val="Balloon Text"/>
    <w:basedOn w:val="a"/>
    <w:link w:val="Char4"/>
    <w:uiPriority w:val="99"/>
    <w:semiHidden/>
    <w:unhideWhenUsed/>
    <w:rsid w:val="00BF52B4"/>
    <w:pPr>
      <w:spacing w:after="0"/>
    </w:pPr>
    <w:rPr>
      <w:rFonts w:ascii="Segoe UI" w:hAnsi="Segoe UI" w:cs="Segoe UI"/>
      <w:sz w:val="18"/>
      <w:szCs w:val="18"/>
    </w:rPr>
  </w:style>
  <w:style w:type="character" w:customStyle="1" w:styleId="Char4">
    <w:name w:val="批注框文本 Char"/>
    <w:basedOn w:val="a0"/>
    <w:link w:val="ab"/>
    <w:uiPriority w:val="99"/>
    <w:semiHidden/>
    <w:rsid w:val="00BF52B4"/>
    <w:rPr>
      <w:rFonts w:ascii="Segoe UI" w:eastAsia="Times New Roman" w:hAnsi="Segoe UI" w:cs="Segoe UI"/>
      <w:sz w:val="18"/>
      <w:szCs w:val="18"/>
      <w:lang w:val="en-GB" w:eastAsia="zh-CN"/>
    </w:rPr>
  </w:style>
  <w:style w:type="paragraph" w:styleId="ac">
    <w:name w:val="annotation subject"/>
    <w:basedOn w:val="a7"/>
    <w:next w:val="a7"/>
    <w:link w:val="Char5"/>
    <w:uiPriority w:val="99"/>
    <w:semiHidden/>
    <w:unhideWhenUsed/>
    <w:rsid w:val="00354927"/>
    <w:rPr>
      <w:b/>
      <w:bCs/>
    </w:rPr>
  </w:style>
  <w:style w:type="character" w:customStyle="1" w:styleId="Char5">
    <w:name w:val="批注主题 Char"/>
    <w:basedOn w:val="Char0"/>
    <w:link w:val="ac"/>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ad">
    <w:name w:val="Hyperlink"/>
    <w:uiPriority w:val="99"/>
    <w:rsid w:val="00D90766"/>
    <w:rPr>
      <w:color w:val="0000FF"/>
      <w:u w:val="single"/>
      <w:lang w:val="en-GB"/>
    </w:rPr>
  </w:style>
  <w:style w:type="character" w:customStyle="1" w:styleId="Char1">
    <w:name w:val="列出段落 Char"/>
    <w:aliases w:val="- Bullets Char,목록 단락 Char,リスト段落 Char,?? ?? Char,????? Char,???? Char,Lista1 Char,列出段落1 Char,中等深浅网格 1 - 着色 21 Char"/>
    <w:link w:val="a9"/>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ae">
    <w:name w:val="caption"/>
    <w:aliases w:val="cap,cap1,cap2,cap3,cap4,cap5,cap6,cap7,cap8,cap9,cap10,cap11,cap21,cap31,cap41,cap51,cap61,cap71,cap81,cap91,cap101,cap12,cap22,cap32,cap42,cap52,cap62,cap72,cap82,cap92,cap102,cap13,cap23,cap33,cap43,cap53,cap63,cap73,cap83,cap93,cap103,cap14"/>
    <w:next w:val="aa"/>
    <w:link w:val="Char6"/>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af">
    <w:name w:val="Table Grid"/>
    <w:basedOn w:val="a1"/>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a"/>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har6">
    <w:name w:val="题注 Char"/>
    <w:aliases w:val="cap Char,cap1 Char,cap2 Char,cap3 Char,cap4 Char,cap5 Char,cap6 Char,cap7 Char,cap8 Char,cap9 Char,cap10 Char,cap11 Char,cap21 Char,cap31 Char,cap41 Char,cap51 Char,cap61 Char,cap71 Char,cap81 Char,cap91 Char,cap101 Char,cap12 Char,cap22 Char"/>
    <w:basedOn w:val="a0"/>
    <w:link w:val="ae"/>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af0">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aa"/>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a"/>
    <w:link w:val="TFChar"/>
    <w:rsid w:val="00FA1695"/>
    <w:pPr>
      <w:keepLines/>
      <w:overflowPunct/>
      <w:autoSpaceDE/>
      <w:autoSpaceDN/>
      <w:adjustRightInd/>
      <w:spacing w:after="240"/>
      <w:jc w:val="center"/>
      <w:textAlignment w:val="auto"/>
    </w:pPr>
    <w:rPr>
      <w:rFonts w:eastAsia="宋体"/>
      <w:b/>
      <w:lang w:eastAsia="en-US"/>
    </w:rPr>
  </w:style>
  <w:style w:type="character" w:customStyle="1" w:styleId="TFChar">
    <w:name w:val="TF Char"/>
    <w:link w:val="TF"/>
    <w:qFormat/>
    <w:rsid w:val="00FA1695"/>
    <w:rPr>
      <w:rFonts w:ascii="Arial" w:eastAsia="宋体" w:hAnsi="Arial" w:cs="Times New Roman"/>
      <w:b/>
      <w:sz w:val="20"/>
      <w:szCs w:val="20"/>
      <w:lang w:val="en-GB"/>
    </w:rPr>
  </w:style>
  <w:style w:type="paragraph" w:customStyle="1" w:styleId="Proposal">
    <w:name w:val="Proposal"/>
    <w:basedOn w:val="aa"/>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character" w:customStyle="1" w:styleId="UnresolvedMention">
    <w:name w:val="Unresolved Mention"/>
    <w:basedOn w:val="a0"/>
    <w:uiPriority w:val="99"/>
    <w:unhideWhenUsed/>
    <w:rsid w:val="00653439"/>
    <w:rPr>
      <w:color w:val="605E5C"/>
      <w:shd w:val="clear" w:color="auto" w:fill="E1DFDD"/>
    </w:rPr>
  </w:style>
  <w:style w:type="character" w:customStyle="1" w:styleId="Mention">
    <w:name w:val="Mention"/>
    <w:basedOn w:val="a0"/>
    <w:uiPriority w:val="99"/>
    <w:unhideWhenUsed/>
    <w:rsid w:val="00653439"/>
    <w:rPr>
      <w:color w:val="2B579A"/>
      <w:shd w:val="clear" w:color="auto" w:fill="E1DFDD"/>
    </w:rPr>
  </w:style>
  <w:style w:type="paragraph" w:customStyle="1" w:styleId="00BodyText">
    <w:name w:val="00 BodyText"/>
    <w:basedOn w:val="a"/>
    <w:qFormat/>
    <w:rsid w:val="00CA35B0"/>
    <w:pPr>
      <w:overflowPunct/>
      <w:autoSpaceDE/>
      <w:autoSpaceDN/>
      <w:adjustRightInd/>
      <w:spacing w:after="220" w:line="276" w:lineRule="auto"/>
      <w:jc w:val="left"/>
      <w:textAlignment w:val="auto"/>
    </w:pPr>
    <w:rPr>
      <w:rFonts w:eastAsia="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345925">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204175053">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 w:id="1872254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3.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5.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6.xml><?xml version="1.0" encoding="utf-8"?>
<ds:datastoreItem xmlns:ds="http://schemas.openxmlformats.org/officeDocument/2006/customXml" ds:itemID="{3A36E268-5FA1-4EA5-9EED-921CA1427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1119</Words>
  <Characters>6381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China Unicom</cp:lastModifiedBy>
  <cp:revision>2</cp:revision>
  <dcterms:created xsi:type="dcterms:W3CDTF">2022-02-10T09:27:00Z</dcterms:created>
  <dcterms:modified xsi:type="dcterms:W3CDTF">2022-02-10T09:27:00Z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